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Microsoft JhengHei" w:hAnsi="Microsoft JhengHei" w:eastAsia="Microsoft JhengHei" w:cs="Microsoft JhengHei"/>
          <w:b/>
          <w:sz w:val="30"/>
        </w:rPr>
        <w:t>長榮（2603）　券商觀點摘要</w:t>
      </w:r>
    </w:p>
    <w:p>
      <w:pPr>
        <w:spacing w:after="200" w:before="0"/>
      </w:pPr>
      <w:r>
        <w:rPr>
          <w:rFonts w:ascii="Microsoft JhengHei" w:hAnsi="Microsoft JhengHei" w:eastAsia="Microsoft JhengHei" w:cs="Microsoft JhengHei"/>
          <w:b w:val="0"/>
          <w:sz w:val="19"/>
        </w:rPr>
        <w:t>滙豐證券　｜　整理日 2026-08-17（早盤場次）</w:t>
      </w:r>
    </w:p>
    <w:p>
      <w:pPr>
        <w:spacing w:after="100" w:before="0"/>
      </w:pPr>
      <w:r>
        <w:rPr>
          <w:rFonts w:ascii="Microsoft JhengHei" w:hAnsi="Microsoft JhengHei" w:eastAsia="Microsoft JhengHei" w:cs="Microsoft JhengHei"/>
          <w:b/>
          <w:sz w:val="24"/>
        </w:rPr>
        <w:t>一、評等／目標價摘要</w:t>
      </w:r>
    </w:p>
    <w:tbl>
      <w:tblPr>
        <w:tblStyle w:val="TableGrid"/>
        <w:tblW w:type="auto" w:w="0"/>
        <w:jc w:val="center"/>
        <w:tblLayout w:type="fixed"/>
        <w:tblLook w:firstColumn="1" w:firstRow="1" w:lastColumn="0" w:lastRow="0" w:noHBand="0" w:noVBand="1" w:val="04A0"/>
      </w:tblPr>
      <w:tblGrid>
        <w:gridCol w:w="4986"/>
        <w:gridCol w:w="4986"/>
      </w:tblGrid>
      <w:tr>
        <w:tc>
          <w:tcPr>
            <w:tcW w:type="dxa" w:w="1814"/>
            <w:shd w:val="clear" w:color="auto" w:fill="DCE6F1"/>
          </w:tcPr>
          <w:p>
            <w:pPr>
              <w:spacing w:after="20" w:before="20"/>
            </w:pPr>
            <w:r/>
            <w:r>
              <w:rPr>
                <w:rFonts w:ascii="Microsoft JhengHei" w:hAnsi="Microsoft JhengHei" w:eastAsia="Microsoft JhengHei" w:cs="Microsoft JhengHei"/>
                <w:b/>
                <w:sz w:val="18"/>
              </w:rPr>
              <w:t>項目</w:t>
            </w:r>
          </w:p>
        </w:tc>
        <w:tc>
          <w:tcPr>
            <w:tcW w:type="dxa" w:w="7824"/>
            <w:shd w:val="clear" w:color="auto" w:fill="DCE6F1"/>
          </w:tcPr>
          <w:p>
            <w:pPr>
              <w:spacing w:after="20" w:before="20"/>
            </w:pPr>
            <w:r/>
            <w:r>
              <w:rPr>
                <w:rFonts w:ascii="Microsoft JhengHei" w:hAnsi="Microsoft JhengHei" w:eastAsia="Microsoft JhengHei" w:cs="Microsoft JhengHei"/>
                <w:b/>
                <w:sz w:val="18"/>
              </w:rPr>
              <w:t>內容</w:t>
            </w:r>
          </w:p>
        </w:tc>
      </w:tr>
      <w:tr>
        <w:tc>
          <w:tcPr>
            <w:tcW w:type="dxa" w:w="1814"/>
          </w:tcPr>
          <w:p>
            <w:pPr>
              <w:spacing w:after="20" w:before="20"/>
            </w:pPr>
            <w:r/>
            <w:r>
              <w:rPr>
                <w:rFonts w:ascii="Microsoft JhengHei" w:hAnsi="Microsoft JhengHei" w:eastAsia="Microsoft JhengHei" w:cs="Microsoft JhengHei"/>
                <w:b w:val="0"/>
                <w:sz w:val="18"/>
              </w:rPr>
              <w:t>券商</w:t>
            </w:r>
          </w:p>
        </w:tc>
        <w:tc>
          <w:tcPr>
            <w:tcW w:type="dxa" w:w="7824"/>
          </w:tcPr>
          <w:p>
            <w:pPr>
              <w:spacing w:after="20" w:before="20"/>
            </w:pPr>
            <w:r/>
            <w:r>
              <w:rPr>
                <w:rFonts w:ascii="Microsoft JhengHei" w:hAnsi="Microsoft JhengHei" w:eastAsia="Microsoft JhengHei" w:cs="Microsoft JhengHei"/>
                <w:b w:val="0"/>
                <w:sz w:val="18"/>
              </w:rPr>
              <w:t>滙豐證券（HSBC，具名）</w:t>
            </w:r>
          </w:p>
        </w:tc>
      </w:tr>
      <w:tr>
        <w:tc>
          <w:tcPr>
            <w:tcW w:type="dxa" w:w="1814"/>
          </w:tcPr>
          <w:p>
            <w:pPr>
              <w:spacing w:after="20" w:before="20"/>
            </w:pPr>
            <w:r/>
            <w:r>
              <w:rPr>
                <w:rFonts w:ascii="Microsoft JhengHei" w:hAnsi="Microsoft JhengHei" w:eastAsia="Microsoft JhengHei" w:cs="Microsoft JhengHei"/>
                <w:b w:val="0"/>
                <w:sz w:val="18"/>
              </w:rPr>
              <w:t>內外資</w:t>
            </w:r>
          </w:p>
        </w:tc>
        <w:tc>
          <w:tcPr>
            <w:tcW w:type="dxa" w:w="7824"/>
          </w:tcPr>
          <w:p>
            <w:pPr>
              <w:spacing w:after="20" w:before="20"/>
            </w:pPr>
            <w:r/>
            <w:r>
              <w:rPr>
                <w:rFonts w:ascii="Microsoft JhengHei" w:hAnsi="Microsoft JhengHei" w:eastAsia="Microsoft JhengHei" w:cs="Microsoft JhengHei"/>
                <w:b w:val="0"/>
                <w:sz w:val="18"/>
              </w:rPr>
              <w:t>外資</w:t>
            </w:r>
          </w:p>
        </w:tc>
      </w:tr>
      <w:tr>
        <w:tc>
          <w:tcPr>
            <w:tcW w:type="dxa" w:w="1814"/>
          </w:tcPr>
          <w:p>
            <w:pPr>
              <w:spacing w:after="20" w:before="20"/>
            </w:pPr>
            <w:r/>
            <w:r>
              <w:rPr>
                <w:rFonts w:ascii="Microsoft JhengHei" w:hAnsi="Microsoft JhengHei" w:eastAsia="Microsoft JhengHei" w:cs="Microsoft JhengHei"/>
                <w:b w:val="0"/>
                <w:sz w:val="18"/>
              </w:rPr>
              <w:t>評等</w:t>
            </w:r>
          </w:p>
        </w:tc>
        <w:tc>
          <w:tcPr>
            <w:tcW w:type="dxa" w:w="7824"/>
          </w:tcPr>
          <w:p>
            <w:pPr>
              <w:spacing w:after="20" w:before="20"/>
            </w:pPr>
            <w:r/>
            <w:r>
              <w:rPr>
                <w:rFonts w:ascii="Microsoft JhengHei" w:hAnsi="Microsoft JhengHei" w:eastAsia="Microsoft JhengHei" w:cs="Microsoft JhengHei"/>
                <w:b w:val="0"/>
                <w:sz w:val="18"/>
              </w:rPr>
              <w:t>買進（重申）</w:t>
            </w:r>
          </w:p>
        </w:tc>
      </w:tr>
      <w:tr>
        <w:tc>
          <w:tcPr>
            <w:tcW w:type="dxa" w:w="1814"/>
          </w:tcPr>
          <w:p>
            <w:pPr>
              <w:spacing w:after="20" w:before="20"/>
            </w:pPr>
            <w:r/>
            <w:r>
              <w:rPr>
                <w:rFonts w:ascii="Microsoft JhengHei" w:hAnsi="Microsoft JhengHei" w:eastAsia="Microsoft JhengHei" w:cs="Microsoft JhengHei"/>
                <w:b w:val="0"/>
                <w:sz w:val="18"/>
              </w:rPr>
              <w:t>目標價</w:t>
            </w:r>
          </w:p>
        </w:tc>
        <w:tc>
          <w:tcPr>
            <w:tcW w:type="dxa" w:w="7824"/>
          </w:tcPr>
          <w:p>
            <w:pPr>
              <w:spacing w:after="20" w:before="20"/>
            </w:pPr>
            <w:r/>
            <w:r>
              <w:rPr>
                <w:rFonts w:ascii="Microsoft JhengHei" w:hAnsi="Microsoft JhengHei" w:eastAsia="Microsoft JhengHei" w:cs="Microsoft JhengHei"/>
                <w:b w:val="0"/>
                <w:sz w:val="18"/>
              </w:rPr>
              <w:t>270 元（前值 255 元，調升 5.88%，本系統回算）</w:t>
            </w:r>
          </w:p>
        </w:tc>
      </w:tr>
      <w:tr>
        <w:tc>
          <w:tcPr>
            <w:tcW w:type="dxa" w:w="1814"/>
          </w:tcPr>
          <w:p>
            <w:pPr>
              <w:spacing w:after="20" w:before="20"/>
            </w:pPr>
            <w:r/>
            <w:r>
              <w:rPr>
                <w:rFonts w:ascii="Microsoft JhengHei" w:hAnsi="Microsoft JhengHei" w:eastAsia="Microsoft JhengHei" w:cs="Microsoft JhengHei"/>
                <w:b w:val="0"/>
                <w:sz w:val="18"/>
              </w:rPr>
              <w:t>見報日</w:t>
            </w:r>
          </w:p>
        </w:tc>
        <w:tc>
          <w:tcPr>
            <w:tcW w:type="dxa" w:w="7824"/>
          </w:tcPr>
          <w:p>
            <w:pPr>
              <w:spacing w:after="20" w:before="20"/>
            </w:pPr>
            <w:r/>
            <w:r>
              <w:rPr>
                <w:rFonts w:ascii="Microsoft JhengHei" w:hAnsi="Microsoft JhengHei" w:eastAsia="Microsoft JhengHei" w:cs="Microsoft JhengHei"/>
                <w:b w:val="0"/>
                <w:sz w:val="18"/>
              </w:rPr>
              <w:t>2026/08/17 03:00（工商時報，記者楊淨淳）</w:t>
            </w:r>
          </w:p>
        </w:tc>
      </w:tr>
      <w:tr>
        <w:tc>
          <w:tcPr>
            <w:tcW w:type="dxa" w:w="1814"/>
          </w:tcPr>
          <w:p>
            <w:pPr>
              <w:spacing w:after="20" w:before="20"/>
            </w:pPr>
            <w:r/>
            <w:r>
              <w:rPr>
                <w:rFonts w:ascii="Microsoft JhengHei" w:hAnsi="Microsoft JhengHei" w:eastAsia="Microsoft JhengHei" w:cs="Microsoft JhengHei"/>
                <w:b w:val="0"/>
                <w:sz w:val="18"/>
              </w:rPr>
              <w:t>產業</w:t>
            </w:r>
          </w:p>
        </w:tc>
        <w:tc>
          <w:tcPr>
            <w:tcW w:type="dxa" w:w="7824"/>
          </w:tcPr>
          <w:p>
            <w:pPr>
              <w:spacing w:after="20" w:before="20"/>
            </w:pPr>
            <w:r/>
            <w:r>
              <w:rPr>
                <w:rFonts w:ascii="Microsoft JhengHei" w:hAnsi="Microsoft JhengHei" w:eastAsia="Microsoft JhengHei" w:cs="Microsoft JhengHei"/>
                <w:b w:val="0"/>
                <w:sz w:val="18"/>
              </w:rPr>
              <w:t>航運－貨櫃</w:t>
            </w:r>
          </w:p>
        </w:tc>
      </w:tr>
      <w:tr>
        <w:tc>
          <w:tcPr>
            <w:tcW w:type="dxa" w:w="1814"/>
          </w:tcPr>
          <w:p>
            <w:pPr>
              <w:spacing w:after="20" w:before="20"/>
            </w:pPr>
            <w:r/>
            <w:r>
              <w:rPr>
                <w:rFonts w:ascii="Microsoft JhengHei" w:hAnsi="Microsoft JhengHei" w:eastAsia="Microsoft JhengHei" w:cs="Microsoft JhengHei"/>
                <w:b w:val="0"/>
                <w:sz w:val="18"/>
              </w:rPr>
              <w:t>參考股價</w:t>
            </w:r>
          </w:p>
        </w:tc>
        <w:tc>
          <w:tcPr>
            <w:tcW w:type="dxa" w:w="7824"/>
          </w:tcPr>
          <w:p>
            <w:pPr>
              <w:spacing w:after="20" w:before="20"/>
            </w:pPr>
            <w:r/>
            <w:r>
              <w:rPr>
                <w:rFonts w:ascii="Microsoft JhengHei" w:hAnsi="Microsoft JhengHei" w:eastAsia="Microsoft JhengHei" w:cs="Microsoft JhengHei"/>
                <w:b w:val="0"/>
                <w:sz w:val="18"/>
              </w:rPr>
              <w:t>8/14 收 219 元（除息後新高），距今年填息目標價 220.5 元一步之遙；270 元對 219 元隱含空間約 +23.3%（本系統回算）</w:t>
            </w:r>
          </w:p>
        </w:tc>
      </w:tr>
      <w:tr>
        <w:tc>
          <w:tcPr>
            <w:tcW w:type="dxa" w:w="1814"/>
          </w:tcPr>
          <w:p>
            <w:pPr>
              <w:spacing w:after="20" w:before="20"/>
            </w:pPr>
            <w:r/>
            <w:r>
              <w:rPr>
                <w:rFonts w:ascii="Microsoft JhengHei" w:hAnsi="Microsoft JhengHei" w:eastAsia="Microsoft JhengHei" w:cs="Microsoft JhengHei"/>
                <w:b w:val="0"/>
                <w:sz w:val="18"/>
              </w:rPr>
              <w:t>本系統既有序列</w:t>
            </w:r>
          </w:p>
        </w:tc>
        <w:tc>
          <w:tcPr>
            <w:tcW w:type="dxa" w:w="7824"/>
          </w:tcPr>
          <w:p>
            <w:pPr>
              <w:spacing w:after="20" w:before="20"/>
            </w:pPr>
            <w:r/>
            <w:r>
              <w:rPr>
                <w:rFonts w:ascii="Microsoft JhengHei" w:hAnsi="Microsoft JhengHei" w:eastAsia="Microsoft JhengHei" w:cs="Microsoft JhengHei"/>
                <w:b w:val="0"/>
                <w:sz w:val="18"/>
              </w:rPr>
              <w:t>2026/08/16 工商時報未具名法人「中立（維持）」、原文未載目標價；2026/08/13 有見報但無評等無目標價</w:t>
            </w:r>
          </w:p>
        </w:tc>
      </w:tr>
      <w:tr>
        <w:tc>
          <w:tcPr>
            <w:tcW w:type="dxa" w:w="1814"/>
          </w:tcPr>
          <w:p>
            <w:pPr>
              <w:spacing w:after="20" w:before="20"/>
            </w:pPr>
            <w:r/>
            <w:r>
              <w:rPr>
                <w:rFonts w:ascii="Microsoft JhengHei" w:hAnsi="Microsoft JhengHei" w:eastAsia="Microsoft JhengHei" w:cs="Microsoft JhengHei"/>
                <w:b w:val="0"/>
                <w:sz w:val="18"/>
              </w:rPr>
              <w:t>★分歧</w:t>
            </w:r>
          </w:p>
        </w:tc>
        <w:tc>
          <w:tcPr>
            <w:tcW w:type="dxa" w:w="7824"/>
          </w:tcPr>
          <w:p>
            <w:pPr>
              <w:spacing w:after="20" w:before="20"/>
            </w:pPr>
            <w:r/>
            <w:r>
              <w:rPr>
                <w:rFonts w:ascii="Microsoft JhengHei" w:hAnsi="Microsoft JhengHei" w:eastAsia="Microsoft JhengHei" w:cs="Microsoft JhengHei"/>
                <w:b w:val="0"/>
                <w:sz w:val="18"/>
              </w:rPr>
              <w:t>僅隔一日，同一份 Q2 財報，未具名法人給「中立」、滙豐給「買進 270 元」，結論相反</w:t>
            </w:r>
          </w:p>
        </w:tc>
      </w:tr>
    </w:tbl>
    <w:p>
      <w:pPr>
        <w:spacing w:after="80" w:before="0"/>
      </w:pPr>
      <w:r>
        <w:rPr>
          <w:rFonts w:ascii="Microsoft JhengHei" w:hAnsi="Microsoft JhengHei" w:eastAsia="Microsoft JhengHei" w:cs="Microsoft JhengHei"/>
          <w:b w:val="0"/>
          <w:sz w:val="21"/>
        </w:rPr>
      </w:r>
    </w:p>
    <w:p>
      <w:pPr>
        <w:spacing w:after="100" w:before="0"/>
      </w:pPr>
      <w:r>
        <w:rPr>
          <w:rFonts w:ascii="Microsoft JhengHei" w:hAnsi="Microsoft JhengHei" w:eastAsia="Microsoft JhengHei" w:cs="Microsoft JhengHei"/>
          <w:b/>
          <w:sz w:val="24"/>
        </w:rPr>
        <w:t>二、論點</w:t>
      </w:r>
    </w:p>
    <w:p>
      <w:pPr>
        <w:spacing w:after="80" w:before="0"/>
        <w:ind w:left="283"/>
      </w:pPr>
      <w:r>
        <w:rPr>
          <w:rFonts w:ascii="Microsoft JhengHei" w:hAnsi="Microsoft JhengHei" w:eastAsia="Microsoft JhengHei" w:cs="Microsoft JhengHei"/>
          <w:b w:val="0"/>
          <w:sz w:val="20"/>
        </w:rPr>
        <w:t>• ★本則最重要的價值在於它與本系統 08/16 收錄的「中立」形成直接對照，且滙豐為具名券商，資訊層級高於前者。</w:t>
      </w:r>
    </w:p>
    <w:p>
      <w:pPr>
        <w:spacing w:after="80" w:before="0"/>
        <w:ind w:left="283"/>
      </w:pPr>
      <w:r>
        <w:rPr>
          <w:rFonts w:ascii="Microsoft JhengHei" w:hAnsi="Microsoft JhengHei" w:eastAsia="Microsoft JhengHei" w:cs="Microsoft JhengHei"/>
          <w:b w:val="0"/>
          <w:sz w:val="20"/>
        </w:rPr>
        <w:t>• Q2 實績：營收 1,051.61 億元，季增 21.56%、年增 21.6%；營業成本雖增加 19% 至 860 億元，但歸屬母公司稅後純益攀升 46.33% 至 160.34 億元，營收與獲利雙雙優於滙豐預期。</w:t>
      </w:r>
    </w:p>
    <w:p>
      <w:pPr>
        <w:spacing w:after="80" w:before="0"/>
        <w:ind w:left="283"/>
      </w:pPr>
      <w:r>
        <w:rPr>
          <w:rFonts w:ascii="Microsoft JhengHei" w:hAnsi="Microsoft JhengHei" w:eastAsia="Microsoft JhengHei" w:cs="Microsoft JhengHei"/>
          <w:b w:val="0"/>
          <w:sz w:val="20"/>
        </w:rPr>
        <w:t>• ★需求論點：滙豐明確主張，Q2 亞洲出口需求上揚並非僅來自「提前拉貨」，而是擁有穩健的實質需求支撐 —— 這正是與 08/16 法人「提前透支」疑慮針鋒相對的一點。</w:t>
      </w:r>
    </w:p>
    <w:p>
      <w:pPr>
        <w:spacing w:after="80" w:before="0"/>
        <w:ind w:left="283"/>
      </w:pPr>
      <w:r>
        <w:rPr>
          <w:rFonts w:ascii="Microsoft JhengHei" w:hAnsi="Microsoft JhengHei" w:eastAsia="Microsoft JhengHei" w:cs="Microsoft JhengHei"/>
          <w:b w:val="0"/>
          <w:sz w:val="20"/>
        </w:rPr>
        <w:t>• ★供給論點：除持續塞港外，亞洲出口需求成長遠大於回程需求導致空櫃調度困難；加上多年來產業對內陸碼頭、卡車、鐵路及水路基礎設施投資不足，運力限制已從船舶轉向陸路，整體供給面更趨緊俏。</w:t>
      </w:r>
    </w:p>
    <w:p>
      <w:pPr>
        <w:spacing w:after="80" w:before="0"/>
        <w:ind w:left="283"/>
      </w:pPr>
      <w:r>
        <w:rPr>
          <w:rFonts w:ascii="Microsoft JhengHei" w:hAnsi="Microsoft JhengHei" w:eastAsia="Microsoft JhengHei" w:cs="Microsoft JhengHei"/>
          <w:b w:val="0"/>
          <w:sz w:val="20"/>
        </w:rPr>
        <w:t>• 7 月營收驗證：長榮 7 月營收 480.79 億元，年增 43.07%、月增 22.83%，遠超過疫情前 6～7 月平均僅 4% 的月增幅；成長力道甚至超越運價指數漲幅（SCFI 7 月漲 5%、CCFI 月漲 21%），顯示長榮擁有優質貨量結構與有效反應運價漲勢的能力。</w:t>
      </w:r>
    </w:p>
    <w:p>
      <w:pPr>
        <w:spacing w:after="80" w:before="0"/>
        <w:ind w:left="283"/>
      </w:pPr>
      <w:r>
        <w:rPr>
          <w:rFonts w:ascii="Microsoft JhengHei" w:hAnsi="Microsoft JhengHei" w:eastAsia="Microsoft JhengHei" w:cs="Microsoft JhengHei"/>
          <w:b w:val="0"/>
          <w:sz w:val="20"/>
        </w:rPr>
        <w:t>• 7 月單月營收即已占滙豐對長榮下半年預估總營收的 22%，為下半年奠定成長基調。</w:t>
      </w:r>
    </w:p>
    <w:p>
      <w:pPr>
        <w:spacing w:after="80" w:before="0"/>
        <w:ind w:left="283"/>
      </w:pPr>
      <w:r>
        <w:rPr>
          <w:rFonts w:ascii="Microsoft JhengHei" w:hAnsi="Microsoft JhengHei" w:eastAsia="Microsoft JhengHei" w:cs="Microsoft JhengHei"/>
          <w:b w:val="0"/>
          <w:sz w:val="20"/>
        </w:rPr>
        <w:t>• ★核心預估：預期 Q3 平均運價將季增 11%，港口塞港與航網中斷將使供需結構更加緊繃，類似 5 月中旬以來的運價飆升現象可能更頻繁出現。</w:t>
      </w:r>
    </w:p>
    <w:p>
      <w:pPr>
        <w:spacing w:after="80" w:before="0"/>
      </w:pPr>
      <w:r>
        <w:rPr>
          <w:rFonts w:ascii="Microsoft JhengHei" w:hAnsi="Microsoft JhengHei" w:eastAsia="Microsoft JhengHei" w:cs="Microsoft JhengHei"/>
          <w:b w:val="0"/>
          <w:sz w:val="21"/>
        </w:rPr>
      </w:r>
    </w:p>
    <w:p>
      <w:pPr>
        <w:spacing w:after="100" w:before="0"/>
      </w:pPr>
      <w:r>
        <w:rPr>
          <w:rFonts w:ascii="Microsoft JhengHei" w:hAnsi="Microsoft JhengHei" w:eastAsia="Microsoft JhengHei" w:cs="Microsoft JhengHei"/>
          <w:b/>
          <w:sz w:val="24"/>
        </w:rPr>
        <w:t>三、風險與資訊限制</w:t>
      </w:r>
    </w:p>
    <w:p>
      <w:pPr>
        <w:spacing w:after="80" w:before="0"/>
        <w:ind w:left="283"/>
      </w:pPr>
      <w:r>
        <w:rPr>
          <w:rFonts w:ascii="Microsoft JhengHei" w:hAnsi="Microsoft JhengHei" w:eastAsia="Microsoft JhengHei" w:cs="Microsoft JhengHei"/>
          <w:b w:val="0"/>
          <w:sz w:val="20"/>
        </w:rPr>
        <w:t>• ★最大的判讀風險是同一檔股票在兩天內出現相反結論。差異的根源在於對需求性質的認定：滙豐主張 Q2 需求有實質支撐、Q3 運價續漲 11%；08/16 未具名法人則主張這波回升相當程度來自關稅因素驅動的提前出貨屬一次性需求前移，9 月後進入旺季尾聲、Q3 可能就是全年獲利高峰、Q4 明顯降溫。★兩者無法同時成立，建議旺來把「Q3 運價是否真如滙豐預估季增 11%」列為後續追蹤的單一關鍵指標。</w:t>
      </w:r>
    </w:p>
    <w:p>
      <w:pPr>
        <w:spacing w:after="80" w:before="0"/>
        <w:ind w:left="283"/>
      </w:pPr>
      <w:r>
        <w:rPr>
          <w:rFonts w:ascii="Microsoft JhengHei" w:hAnsi="Microsoft JhengHei" w:eastAsia="Microsoft JhengHei" w:cs="Microsoft JhengHei"/>
          <w:b w:val="0"/>
          <w:sz w:val="20"/>
        </w:rPr>
        <w:t>• Q3 平均運價季增 11% 為滙豐預估值而非實績，且為整套多頭邏輯的支點。</w:t>
      </w:r>
    </w:p>
    <w:p>
      <w:pPr>
        <w:spacing w:after="80" w:before="0"/>
        <w:ind w:left="283"/>
      </w:pPr>
      <w:r>
        <w:rPr>
          <w:rFonts w:ascii="Microsoft JhengHei" w:hAnsi="Microsoft JhengHei" w:eastAsia="Microsoft JhengHei" w:cs="Microsoft JhengHei"/>
          <w:b w:val="0"/>
          <w:sz w:val="20"/>
        </w:rPr>
        <w:t>• ★地緣政治為雙面刃：紅海繞行與塞港目前是壓縮有效運力的利多，一旦中東情勢緩和、航商恢復紅海航線，等同瞬間釋放大量運力，滙豐原文未做情境試算。</w:t>
      </w:r>
    </w:p>
    <w:p>
      <w:pPr>
        <w:spacing w:after="80" w:before="0"/>
        <w:ind w:left="283"/>
      </w:pPr>
      <w:r>
        <w:rPr>
          <w:rFonts w:ascii="Microsoft JhengHei" w:hAnsi="Microsoft JhengHei" w:eastAsia="Microsoft JhengHei" w:cs="Microsoft JhengHei"/>
          <w:b w:val="0"/>
          <w:sz w:val="20"/>
        </w:rPr>
        <w:t>• 2027 年新船持續交付使運力增加，若需求無法同步吸收，供過於求將重新壓抑運價與獲利，本則原文未涵蓋 2027 年之後的供給面。</w:t>
      </w:r>
    </w:p>
    <w:p>
      <w:pPr>
        <w:spacing w:after="80" w:before="0"/>
        <w:ind w:left="283"/>
      </w:pPr>
      <w:r>
        <w:rPr>
          <w:rFonts w:ascii="Microsoft JhengHei" w:hAnsi="Microsoft JhengHei" w:eastAsia="Microsoft JhengHei" w:cs="Microsoft JhengHei"/>
          <w:b w:val="0"/>
          <w:sz w:val="20"/>
        </w:rPr>
        <w:t>• ★長榮上半年 EPS 11.24 元仍年減 36.48%（Q2 單季 EPS 7.41 元年增 46.33%），累計數低於去年同期代表 Q1 基期偏弱，獲利回升的持續性仍待觀察。</w:t>
      </w:r>
    </w:p>
    <w:p>
      <w:pPr>
        <w:spacing w:after="80" w:before="0"/>
        <w:ind w:left="283"/>
      </w:pPr>
      <w:r>
        <w:rPr>
          <w:rFonts w:ascii="Microsoft JhengHei" w:hAnsi="Microsoft JhengHei" w:eastAsia="Microsoft JhengHei" w:cs="Microsoft JhengHei"/>
          <w:b w:val="0"/>
          <w:sz w:val="20"/>
        </w:rPr>
        <w:t>• 原文未載滙豐的 EPS 預估與目標本益比，270 元無法回算驗證；亦未載報告出具日期。</w:t>
      </w:r>
    </w:p>
    <w:p>
      <w:pPr>
        <w:spacing w:after="80" w:before="0"/>
        <w:ind w:left="283"/>
      </w:pPr>
      <w:r>
        <w:rPr>
          <w:rFonts w:ascii="Microsoft JhengHei" w:hAnsi="Microsoft JhengHei" w:eastAsia="Microsoft JhengHei" w:cs="Microsoft JhengHei"/>
          <w:b w:val="0"/>
          <w:sz w:val="20"/>
        </w:rPr>
        <w:t>• 調升幅度僅 5.88%，屬溫和微調，訊號強度低於本場次廣達與華碩的大幅上修。</w:t>
      </w:r>
    </w:p>
    <w:p>
      <w:pPr>
        <w:spacing w:after="80" w:before="0"/>
      </w:pPr>
      <w:r>
        <w:rPr>
          <w:rFonts w:ascii="Microsoft JhengHei" w:hAnsi="Microsoft JhengHei" w:eastAsia="Microsoft JhengHei" w:cs="Microsoft JhengHei"/>
          <w:b w:val="0"/>
          <w:sz w:val="21"/>
        </w:rPr>
      </w:r>
    </w:p>
    <w:p>
      <w:pPr>
        <w:spacing w:after="100" w:before="0"/>
      </w:pPr>
      <w:r>
        <w:rPr>
          <w:rFonts w:ascii="Microsoft JhengHei" w:hAnsi="Microsoft JhengHei" w:eastAsia="Microsoft JhengHei" w:cs="Microsoft JhengHei"/>
          <w:b/>
          <w:sz w:val="24"/>
        </w:rPr>
        <w:t>四、來源連結</w:t>
      </w:r>
    </w:p>
    <w:p>
      <w:pPr>
        <w:spacing w:after="0" w:before="0"/>
        <w:ind w:left="283"/>
      </w:pPr>
      <w:r>
        <w:rPr>
          <w:rFonts w:ascii="Microsoft JhengHei" w:hAnsi="Microsoft JhengHei" w:eastAsia="Microsoft JhengHei" w:cs="Microsoft JhengHei"/>
          <w:b w:val="0"/>
          <w:sz w:val="18"/>
        </w:rPr>
        <w:t>Q3運價看漲 外資讚長榮「有利」 調升目標價至270元 填息推一把？（工商時報 2026.08.17 03:00）</w:t>
      </w:r>
    </w:p>
    <w:p>
      <w:pPr>
        <w:spacing w:after="80" w:before="0"/>
        <w:ind w:left="283"/>
      </w:pPr>
      <w:r>
        <w:rPr>
          <w:rFonts w:ascii="Microsoft JhengHei" w:hAnsi="Microsoft JhengHei" w:eastAsia="Microsoft JhengHei" w:cs="Microsoft JhengHei"/>
          <w:b w:val="0"/>
          <w:color w:val="1F4E79"/>
          <w:sz w:val="17"/>
        </w:rPr>
        <w:t>https://www.ctee.com.tw/news/20260817700172-430201</w:t>
      </w:r>
    </w:p>
    <w:p>
      <w:pPr>
        <w:spacing w:after="0" w:before="0"/>
        <w:ind w:left="283"/>
      </w:pPr>
      <w:r>
        <w:rPr>
          <w:rFonts w:ascii="Microsoft JhengHei" w:hAnsi="Microsoft JhengHei" w:eastAsia="Microsoft JhengHei" w:cs="Microsoft JhengHei"/>
          <w:b w:val="0"/>
          <w:sz w:val="18"/>
        </w:rPr>
        <w:t>陽明、長榮、萬海賺翻了股價卻沒激情！法人點出航運股最大隱憂（工商時報 2026.08.16 14:17，反向對照）</w:t>
      </w:r>
    </w:p>
    <w:p>
      <w:pPr>
        <w:spacing w:after="80" w:before="0"/>
        <w:ind w:left="283"/>
      </w:pPr>
      <w:r>
        <w:rPr>
          <w:rFonts w:ascii="Microsoft JhengHei" w:hAnsi="Microsoft JhengHei" w:eastAsia="Microsoft JhengHei" w:cs="Microsoft JhengHei"/>
          <w:b w:val="0"/>
          <w:color w:val="1F4E79"/>
          <w:sz w:val="17"/>
        </w:rPr>
        <w:t>https://www.ctee.com.tw/news/20260816700421-430201</w:t>
      </w:r>
    </w:p>
    <w:p>
      <w:pPr>
        <w:spacing w:after="80" w:before="0"/>
      </w:pPr>
      <w:r>
        <w:rPr>
          <w:rFonts w:ascii="Microsoft JhengHei" w:hAnsi="Microsoft JhengHei" w:eastAsia="Microsoft JhengHei" w:cs="Microsoft JhengHei"/>
          <w:b w:val="0"/>
          <w:sz w:val="21"/>
        </w:rPr>
      </w:r>
    </w:p>
    <w:p>
      <w:pPr>
        <w:spacing w:after="80" w:before="0"/>
      </w:pPr>
      <w:r>
        <w:rPr>
          <w:rFonts w:ascii="Microsoft JhengHei" w:hAnsi="Microsoft JhengHei" w:eastAsia="Microsoft JhengHei" w:cs="Microsoft JhengHei"/>
          <w:b/>
          <w:sz w:val="18"/>
        </w:rPr>
        <w:t>本摘要依公開新聞整理，非完整報告。</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