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長榮（2603）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FactSet 外資共識（鉅亨網外資評等表，評等日 20260818）｜航運－貨櫃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評等日 2026/08/18｜鉅亨網 FactSet 外資評等表｜★本場次補收錄（08/18 盤後場次遺漏）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資料源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分析師共識統計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本表評等欄為空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234.5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前值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本表未載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表列現價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240.5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隱含空間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★−2.49%（共識已低於現價，本系統回算）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★本筆為 08/18 盤後場次遺漏之補收錄，且為本場次最值得警覺的一筆。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★共識目標價 234.5 元已低於表列現價 240.5 元，代表以外資共識口徑，長榮股價已充分反映甚至超前。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★與本系統既有紀錄的落差極大＝滙豐證券 08/17 具名重申買進並將目標價由 255 元上修至 270 元，共識 234.5 元較滙豐低 13.15%（本系統回算）。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★三方觀點並列＝滙豐買進 270 元（08/17 具名）／法人中立、無目標價（08/16–08/17 未具名）／FactSet 共識 234.5 元且已低於現價（08/18）。三者中兩者偏保守。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既有基本面背景（出自本系統 08/17 紀錄，非本表內容）＝Q2 營收 1,051.61 億元季增 21.56%，歸屬母公司稅後純益 160.34 億元年增 46.33%；7 月營收 480.79 億元年增 43.07%；滙豐預估 Q3 平均運價季增 11%。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★共識低於現價通常代表兩種情況之一：股價已透支基本面，或共識樣本尚未反映最新財報。本表無法區分，且未載前值使得無法判斷是下修還是首次納入。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★航運股評價高度依賴運價假設，滙豐的 Q3 運價季增 11% 是多頭邏輯的單一支點；共識偏保守可能正反映其他機構不採此假設。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★紅海復航為雙面刃＝馬士基已將復航納入考量，一旦其他航商跟進將瞬間釋放大量運力，本表與既有各方紀錄均未做情境試算。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★FactSet 為共識統計非單一機構報告，無論述、無 EPS 預估、無目標本益比，完全無法回算驗證。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★表列現價對應前一交易日收盤，實際空間須以最新股價重算。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