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80"/>
      </w:pPr>
      <w:r>
        <w:rPr>
          <w:rFonts w:ascii="Microsoft JhengHei" w:eastAsia="Microsoft JhengHei" w:hAnsi="Microsoft JhengHei"/>
          <w:b/>
          <w:bCs/>
          <w:color w:val="1F3864"/>
          <w:sz w:val="32"/>
          <w:szCs w:val="32"/>
        </w:rPr>
        <w:t xml:space="preserve">長興（1717）券商觀點摘要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595959"/>
          <w:sz w:val="20"/>
          <w:szCs w:val="20"/>
        </w:rPr>
        <w:t xml:space="preserve">資料日期：2026/07/23｜券商：法人（未具名）（屬性待確認）｜產業：化工／半導體先進封裝材料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評等與目標價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買進（初次評等）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</w:t>
            </w:r>
          </w:p>
        </w:tc>
        <w:tc>
          <w:tcPr>
            <w:tcW w:type="dxa" w:w="7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86 元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前值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無（初評）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評價基礎</w:t>
            </w:r>
          </w:p>
        </w:tc>
        <w:tc>
          <w:tcPr>
            <w:tcW w:type="dxa" w:w="7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新聞未揭露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關鍵預估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2026/27 年營收估 465.06／508.94 億元；EPS 估 2.28／3.09 元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老牌化工廠轉型先進封裝材料：已開發 MUF（模塑底部填充）與 LMC（液態封裝材料）並切入台積電 CoWoS 供應鏈；隨產能開出，下半年相關單月營收將由上半年 2,000-3,000 萬元大幅提升至 1-1.5 億元，占營收比重 4-5%。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法人看好長興有機會成為 Apple 新一代 M8 處理器相關封裝材料供應商，帶動產品組合升級。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第一季營收 102.43 億元、年增 1.81%，毛利率 22.16%（季增 0.87 個百分點），EPS 0.37 元優於市場預期；上半年營收 221.68 億元、年增 8.32%，前 5 月稅前 EPS 約 1.29 元。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先進封裝材料認證與放量時程；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Apple 供應鏈目前僅屬「有望切入」階段，尚未確認；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傳統化工本業受原物料與景氣循環影響。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FTNN 新聞網（2026/7/23 23:55）：https://www.ftnn.com.tw/news/563749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 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本摘要依公開新聞整理，非完整報告。數字若標「待確認」，請以券商原始報告為準。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2026-07-24T00:23:09.323Z</dcterms:created>
  <dcterms:modified xsi:type="dcterms:W3CDTF">2026-07-24T00:23:09.323Z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