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364"/>
          <w:sz w:val="34"/>
        </w:rPr>
        <w:t>雙鴻（3324）券商觀點摘要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FactSet 外資分析師共識彙整　｜　2026/08/11（二）盤後場次　｜　產業：散熱－AI 液冷（水冷板／散熱模組）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來源機構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分析師共識彙整（鉅亨網外資評等表「券商」欄標示為 Factset）。性質提醒：為分析師共識統計，非單一具名外資券商新出具的研究報告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符合市場（原表用語）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1,380 元／前值 1,335 元（+3.4%）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評等日期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20260811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本益比／EPS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原表皆未揭露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同日內部落差（最重要）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本系統同日早盤場次已收錄：美系外資（未具名）1,550 元（前值 1,480 元）、日系外資（未具名）買進維持 1,600 元。FactSet 共識 1,380 元較該兩家低 10.9%～13.8%，顯示兩家出手的外資明顯樂觀於整體分析師共識，共識價尚未跟上單一券商的上修動作。判讀時務必區分「共識價」與「最樂觀券商價」，兩者不宜混用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隱含空間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該表現價欄顯示 1,045 元（頁面自身顯示值），對照 1,380 元約 +32%；若以 8/10 收盤 1,010 元計，約 +36.6%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本系統序列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1,335 元（前次共識）→ 1,380 元（8/11 共識）；單一券商：1,480→1,550 元（美系）、1,600 元（日系）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二、投資論點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・共識調升幅度僅 3.4%，相對同期單一券商 4.7% 的調升與 1,600 元的高標，屬跟隨性、幅度保守的調整，訊號強度有限。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・評等維持「符合市場」而非升評，代表分析師整體雖上修目標價，但並未認為雙鴻相對大盤具備超額報酬機會，此與同日兩家外資的積極論述形成對比。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・產業前提（引自同批單一券商論述）：Vera Rubin 平台開始量產後，公司預估液冷產品單月營收占比可望提升至 70%；成長動能主要認列在 2027～2028 年，屬「往後遞延但幅度加大」的液冷滲透邏輯。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・共識與單一券商的落差本身即是有用資訊：若後續共識向 1,550～1,600 元收斂，代表市場逐步接受液冷滲透加速；若單一券商回落至共識區間，則代表先行者過度樂觀。建議後續場次持續追蹤此收斂方向。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三、營運與財務數字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・Q2 營收 87 億元創單季新高，單季 EPS 10.41 元；上半年 EPS 23.01 元。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・7 月營收 37.65 億元，月增 38.54%、年增 116.7%。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・8/10 收盤 1,010 元；鉅亨網外資評等表現價欄顯示 1,045 元。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・共識目標價序列：1,335 元 → 1,380 元（+3.4%）。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四、風險與資訊缺口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・本則為分析師共識彙整而非單一券商報告，無法追溯任何一家券商的評價方法、EPS 假設或本益比。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・原表未揭露 EPS 預估、本益比、參與統計的分析師家數，1,380 元的推導完全無法驗證。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・未載目標價的時間框架（是否為 12 個月）。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・最大解讀風險：同一天出現 1,380（共識）／1,550（美系）／1,600（日系）三個數字，全距達 16%。媒體多引用最高值，投資人易高估市場整體看法；本摘要特別並列三者以避免此偏誤。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・「符合市場」評等搭配目標價調升，方向並不完全一致，原表未提供任何說明。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・多頭論述高度綁定 Vera Rubin 平台量產時程，若平台遞延則 2027～2028 年獲利上修同步失準，下檔情境未討論。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・「液冷單月營收占比提升至 70%」為公司自身預估，非分析師獨立驗證數字。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・7 月營收月增 38.54% 為單月高基期，延續性未說明。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五、來源連結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外資評等表（評等日期 20260811）：https://www.cnyes.com/twstock/board/ratediff.aspx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・對照（同日早盤場次已收錄之兩家單一外資）FTNN 新聞網 2026/08/10 23:30：https://www.ftnn.com.tw/news/568780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 w:val="0"/>
          <w:color w:val="777777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