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雙鴻（3324）券商觀點摘要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本土投顧（原文未具名）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本土投顧（原文未具名）（內資）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雙鴻（3324）　散熱－AI 液冷（水冷板／分歧管）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1,280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1,505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下修 14.95％，為本場次唯一下修個案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維持「買進」評等，目標價由 1,505 元下修至 1,280 元（-14.95％）。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預估 2026 年營收 357.9 億元（年增 54％）、EPS 51 元（年增 81％）；Q2 EPS 10.41 元低於該投顧原先預期。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xAI 大幅上修下半年 GB300 訂單，雙鴻為美超微水冷板／分歧管主要供應商之一；7 月營收 37.7 億元（月增 39％、年增 117％）；水冷產品占比 2026 年估 59％、2027 年上看 95％。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・原文自載：分歧管已有競爭對手切入供應鏈，下半年價格競爭恐升溫；消費性產品需求不如預期、費用高於預期。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・重大分歧提醒：本系統 2026/08/11 同日已收錄美系外資 1,550 元（前值 1,480）、日系外資買進 1,600 元、FactSet 共識 1,380 元（前值 1,335）。本則 1,280 元低於 FactSet 共識 7.2％、低於日系外資高標 20.0％，且方向相反（外資調升、內資下修），為本檔近期最重要的分歧訊號。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・券商未具名，未載報告出具日期，未揭露本益比，1,280 元的評價基礎無法驗證。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・「維持買進但下修目標價 15％」本身即為內部張力，原文未充分說明評等未同步調整的理由。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・多頭論述綁定 xAI／GB300 單一客戶專案上修，若訂單遞延則 2026 年 EPS 51 元達成度存疑。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・FTNN 新聞網 2026/08/11 23:15 https://www.ftnn.com.tw/news/569122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