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32"/>
          <w:szCs w:val="32"/>
        </w:rPr>
        <w:t xml:space="preserve">順達（3211）個股摘要</w:t>
      </w:r>
    </w:p>
    <w:p>
      <w:pPr>
        <w:spacing w:after="200" w:before="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資料日期：2026年7月8日（補收錄）　｜　編製日：2026年7月14日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券商／屬性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美系外資（未具名）／外資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買進（初次評等）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800 元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目標價（舊）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無（初評）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參考股價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7/8 報告激勵盤中攻上漲停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產業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電子零組件－電源／BBU</w:t>
            </w:r>
          </w:p>
        </w:tc>
      </w:tr>
    </w:tbl>
    <w:p>
      <w:pPr>
        <w:spacing w:after="100" w:before="24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投資論點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AI資料中心電力架構自集中式UPS轉向機架級備援（BBU），順達為此結構性轉變最直接受惠者之一。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單機架BBU價值量：GB300 NVL72約1.5萬~1.6萬美元→Rubin平台1.7萬~1.8萬美元→Rubin Ultra高功率模組標配後上看3.3萬美元。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BBU滲透率估自2025年40%~45%升至2026年60%~65%、2027年超過85%；順達2025~2028年營收／淨利CAGR估34%／60%。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風險與注意事項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單一券商初評觀點，尚無其他外資跟進佐證。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BBU市場競爭者眾（電池模組廠陸續切入），毛利率能否隨量提升待驗證。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輝達平台世代交替時程若遞延，滲透率與價值量假設恐下修。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來源連結</w:t>
      </w:r>
    </w:p>
    <w:p>
      <w:pPr>
        <w:spacing w:after="60"/>
      </w:pPr>
      <w:hyperlink w:history="1" r:id="rIdj0_rq5waoj-or-rcjk2qe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https://www.ctee.com.tw/news/20260708701198-430201</w:t>
        </w:r>
      </w:hyperlink>
    </w:p>
    <w:p>
      <w:pPr>
        <w:spacing w:after="120" w:before="200"/>
      </w:pPr>
      <w:r>
        <w:rPr>
          <w:rFonts w:ascii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3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0_rq5waoj-or-rcjk2qe" Type="http://schemas.openxmlformats.org/officeDocument/2006/relationships/hyperlink" Target="https://www.ctee.com.tw/news/20260708701198-4302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2026-07-14T00:19:30.878Z</dcterms:created>
  <dcterms:modified xsi:type="dcterms:W3CDTF">2026-07-14T00:19:30.878Z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