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color w:val="1F3864"/>
          <w:sz w:val="34"/>
        </w:rPr>
        <w:t>順達（3211）券商觀點摘要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/>
          <w:b w:val="0"/>
          <w:color w:val="666666"/>
          <w:sz w:val="19"/>
        </w:rPr>
        <w:t>2026/08/07 早盤場次｜電池模組－BBU／資料中心電源（HVDC）｜資料來源：工商時報</w:t>
      </w:r>
    </w:p>
    <w:p>
      <w:pPr>
        <w:spacing w:after="80" w:before="80"/>
      </w:pPr>
      <w:r>
        <w:rPr>
          <w:rFonts w:ascii="Microsoft JhengHei" w:hAnsi="Microsoft JhengHei" w:eastAsia="Microsoft JhengHei"/>
          <w:b/>
          <w:color w:val="1F3864"/>
          <w:sz w:val="24"/>
        </w:rPr>
        <w:t>一、評等／目標價摘要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1928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券商／法人</w:t>
            </w:r>
          </w:p>
        </w:tc>
        <w:tc>
          <w:tcPr>
            <w:tcW w:type="dxa" w:w="850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屬性</w:t>
            </w:r>
          </w:p>
        </w:tc>
        <w:tc>
          <w:tcPr>
            <w:tcW w:type="dxa" w:w="1531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目標價（新／舊）</w:t>
            </w:r>
          </w:p>
        </w:tc>
        <w:tc>
          <w:tcPr>
            <w:tcW w:type="dxa" w:w="3798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報告重點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台新證券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內資</w:t>
            </w:r>
          </w:p>
        </w:tc>
        <w:tc>
          <w:tcPr>
            <w:tcW w:type="dxa" w:w="153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485（上修）／ 前值未揭露</w:t>
            </w:r>
          </w:p>
        </w:tc>
        <w:tc>
          <w:tcPr>
            <w:tcW w:type="dxa" w:w="379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Q3營運獲利顯著回升，股價修正後價值浮現。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美系外資（7/8 已收錄）</w:t>
            </w:r>
          </w:p>
        </w:tc>
        <w:tc>
          <w:tcPr>
            <w:tcW w:type="dxa" w:w="850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531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見7/8紀錄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見7/8紀錄</w:t>
            </w:r>
          </w:p>
        </w:tc>
        <w:tc>
          <w:tcPr>
            <w:tcW w:type="dxa" w:w="3798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前次外資觀點，可作為區間對照。</w:t>
            </w:r>
          </w:p>
        </w:tc>
      </w:tr>
    </w:tbl>
    <w:p>
      <w:pPr>
        <w:spacing w:after="80" w:before="200"/>
      </w:pPr>
      <w:r>
        <w:rPr>
          <w:rFonts w:ascii="Microsoft JhengHei" w:hAnsi="Microsoft JhengHei" w:eastAsia="Microsoft JhengHei"/>
          <w:b/>
          <w:color w:val="1F3864"/>
          <w:sz w:val="24"/>
        </w:rPr>
        <w:t>二、投資論點</w:t>
      </w:r>
    </w:p>
    <w:p>
      <w:pPr>
        <w:spacing w:after="50" w:line="269" w:lineRule="auto"/>
        <w:ind w:left="255"/>
      </w:pPr>
      <w:r>
        <w:rPr>
          <w:rFonts w:ascii="Microsoft JhengHei" w:hAnsi="Microsoft JhengHei" w:eastAsia="Microsoft JhengHei"/>
          <w:b w:val="0"/>
          <w:sz w:val="19"/>
        </w:rPr>
        <w:t>• 短期落底：順達第二季因BBU機種拉貨不如預期，影響營收及毛利率，股價自7月中開始回落；8月起展開反彈，8/6拉出長紅K棒一舉站回10日均線。</w:t>
      </w:r>
    </w:p>
    <w:p>
      <w:pPr>
        <w:spacing w:after="50" w:line="269" w:lineRule="auto"/>
        <w:ind w:left="255"/>
      </w:pPr>
      <w:r>
        <w:rPr>
          <w:rFonts w:ascii="Microsoft JhengHei" w:hAnsi="Microsoft JhengHei" w:eastAsia="Microsoft JhengHei"/>
          <w:b w:val="0"/>
          <w:sz w:val="19"/>
        </w:rPr>
        <w:t>• 拉貨恢復：法人表示順達7月起拉貨將恢復正常，預期第三季營運及獲利皆會顯著回升。</w:t>
      </w:r>
    </w:p>
    <w:p>
      <w:pPr>
        <w:spacing w:after="50" w:line="269" w:lineRule="auto"/>
        <w:ind w:left="255"/>
      </w:pPr>
      <w:r>
        <w:rPr>
          <w:rFonts w:ascii="Microsoft JhengHei" w:hAnsi="Microsoft JhengHei" w:eastAsia="Microsoft JhengHei"/>
          <w:b w:val="0"/>
          <w:sz w:val="19"/>
        </w:rPr>
        <w:t>• 客戶擴張：今年第四季將新增一家CSP客戶，高壓專案涵蓋三家CSP客戶，看好其受惠資料中心往HVDC發展趨勢。</w:t>
      </w:r>
    </w:p>
    <w:p>
      <w:pPr>
        <w:spacing w:after="50" w:line="269" w:lineRule="auto"/>
        <w:ind w:left="255"/>
      </w:pPr>
      <w:r>
        <w:rPr>
          <w:rFonts w:ascii="Microsoft JhengHei" w:hAnsi="Microsoft JhengHei" w:eastAsia="Microsoft JhengHei"/>
          <w:b w:val="0"/>
          <w:sz w:val="19"/>
        </w:rPr>
        <w:t>• 產品組合：公司預期下半年營收逐季成長，non-IT出貨比重增至逾5成；8kW、12kW機種將在下半年出貨，800V高壓產品預計2027年量產。</w:t>
      </w:r>
    </w:p>
    <w:p>
      <w:pPr>
        <w:spacing w:after="50" w:line="269" w:lineRule="auto"/>
        <w:ind w:left="255"/>
      </w:pPr>
      <w:r>
        <w:rPr>
          <w:rFonts w:ascii="Microsoft JhengHei" w:hAnsi="Microsoft JhengHei" w:eastAsia="Microsoft JhengHei"/>
          <w:b w:val="0"/>
          <w:sz w:val="19"/>
        </w:rPr>
        <w:t>• 評價邏輯：法人明指「股價經歷修正後，價值浮現」為升評與上修目標價的核心理由。</w:t>
      </w:r>
    </w:p>
    <w:p>
      <w:pPr>
        <w:spacing w:after="80" w:before="200"/>
      </w:pPr>
      <w:r>
        <w:rPr>
          <w:rFonts w:ascii="Microsoft JhengHei" w:hAnsi="Microsoft JhengHei" w:eastAsia="Microsoft JhengHei"/>
          <w:b/>
          <w:color w:val="C00000"/>
          <w:sz w:val="24"/>
        </w:rPr>
        <w:t>三、風險與待確認事項</w:t>
      </w:r>
    </w:p>
    <w:p>
      <w:pPr>
        <w:spacing w:after="50" w:line="269" w:lineRule="auto"/>
        <w:ind w:left="255"/>
      </w:pPr>
      <w:r>
        <w:rPr>
          <w:rFonts w:ascii="Microsoft JhengHei" w:hAnsi="Microsoft JhengHei" w:eastAsia="Microsoft JhengHei"/>
          <w:b w:val="0"/>
          <w:sz w:val="19"/>
        </w:rPr>
        <w:t>• 本則出自工商時報權證專欄，副標掛「台新證券」屬權證發行商掛名，是否即為出具評等與485元目標價的研究機構，待確認。</w:t>
      </w:r>
    </w:p>
    <w:p>
      <w:pPr>
        <w:spacing w:after="50" w:line="269" w:lineRule="auto"/>
        <w:ind w:left="255"/>
      </w:pPr>
      <w:r>
        <w:rPr>
          <w:rFonts w:ascii="Microsoft JhengHei" w:hAnsi="Microsoft JhengHei" w:eastAsia="Microsoft JhengHei"/>
          <w:b w:val="0"/>
          <w:sz w:val="19"/>
        </w:rPr>
        <w:t>• 前值未揭露，僅載「上修其目標價至485元」，調幅無法計算。</w:t>
      </w:r>
    </w:p>
    <w:p>
      <w:pPr>
        <w:spacing w:after="50" w:line="269" w:lineRule="auto"/>
        <w:ind w:left="255"/>
      </w:pPr>
      <w:r>
        <w:rPr>
          <w:rFonts w:ascii="Microsoft JhengHei" w:hAnsi="Microsoft JhengHei" w:eastAsia="Microsoft JhengHei"/>
          <w:b w:val="0"/>
          <w:sz w:val="19"/>
        </w:rPr>
        <w:t>• 本則未提供營收、毛利率與EPS預估，亦未揭露本益比假設，無法檢驗485元的評價基礎。</w:t>
      </w:r>
    </w:p>
    <w:p>
      <w:pPr>
        <w:spacing w:after="50" w:line="269" w:lineRule="auto"/>
        <w:ind w:left="255"/>
      </w:pPr>
      <w:r>
        <w:rPr>
          <w:rFonts w:ascii="Microsoft JhengHei" w:hAnsi="Microsoft JhengHei" w:eastAsia="Microsoft JhengHei"/>
          <w:b w:val="0"/>
          <w:sz w:val="19"/>
        </w:rPr>
        <w:t>• Q2 BBU拉貨不如預期的具體金額與影響幅度未揭露；「7月起恢復正常」為法人說法，尚待7月與8月營收數字驗證。</w:t>
      </w:r>
    </w:p>
    <w:p>
      <w:pPr>
        <w:spacing w:after="50" w:line="269" w:lineRule="auto"/>
        <w:ind w:left="255"/>
      </w:pPr>
      <w:r>
        <w:rPr>
          <w:rFonts w:ascii="Microsoft JhengHei" w:hAnsi="Microsoft JhengHei" w:eastAsia="Microsoft JhengHei"/>
          <w:b w:val="0"/>
          <w:sz w:val="19"/>
        </w:rPr>
        <w:t>• Q4新增CSP客戶、800V產品2027年量產均屬未來事件，時程遞延風險存在；同業光寶科、台達電等在AI電源與BBU同步擴產，競爭態勢本則未評估。</w:t>
      </w:r>
    </w:p>
    <w:p>
      <w:pPr>
        <w:spacing w:after="80" w:before="200"/>
      </w:pPr>
      <w:r>
        <w:rPr>
          <w:rFonts w:ascii="Microsoft JhengHei" w:hAnsi="Microsoft JhengHei" w:eastAsia="Microsoft JhengHei"/>
          <w:b/>
          <w:color w:val="1F3864"/>
          <w:sz w:val="24"/>
        </w:rPr>
        <w:t>四、來源連結</w:t>
      </w:r>
    </w:p>
    <w:p>
      <w:pPr>
        <w:spacing w:after="30"/>
        <w:ind w:left="227"/>
      </w:pPr>
      <w:r>
        <w:rPr>
          <w:rFonts w:ascii="Microsoft JhengHei" w:hAnsi="Microsoft JhengHei" w:eastAsia="Microsoft JhengHei"/>
          <w:b w:val="0"/>
          <w:color w:val="444444"/>
          <w:sz w:val="17"/>
        </w:rPr>
        <w:t>• 順達 拉貨恢復正常（工商時報 2026/08/07）  https://www.ctee.com.tw/news/20260807700288-430203</w:t>
      </w:r>
    </w:p>
    <w:p>
      <w:pPr>
        <w:spacing w:after="80" w:before="200"/>
      </w:pPr>
      <w:r>
        <w:rPr>
          <w:rFonts w:ascii="Microsoft JhengHei" w:hAnsi="Microsoft JhengHei" w:eastAsia="Microsoft JhengHei"/>
          <w:b w:val="0"/>
          <w:color w:val="888888"/>
          <w:sz w:val="17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