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頎邦（6147）券商觀點摘要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2026 / 08 / 05　早盤場次　｜　資料來源：工商時報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9"/>
          <w:szCs w:val="19"/>
        </w:rPr>
        <w:t xml:space="preserve">產業分類：半導體－驅動 IC 封測（DDIC／LPO／矽光子）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6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評價基準／備註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花旗環球（外資）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230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未揭露（逆勢調升）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漲價效應帶動 Q2 毛利率回升至 3 成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瑞銀（分析師 蘇厚合，外資）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290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340 元（-14.7%）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仍為外資圈最高；下修目標本益比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股價對照：8/4 收 144.5 元、漲 6.64%。距花旗 230 元潛在漲幅約 59%，距瑞銀 290 元潛在漲幅約 1 倍。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・Q2 毛利率大增 6.8 個百分點至 30.3%，完勝市場預期，且為後疫情時期首見的 3 成毛利率；花旗盛讚毛利率回溫速度優於預期。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・OLED 面板驅動 IC（DDIC）需求轉佳帶動產能利用率上升，Q2 營收季增 15%。瑞銀預估 Q3 受惠 OLED iPhone DDI 季節性需求與矽光子業務放量，加上 TV／IT 終端客戶趕在晶圓代工漲價前拉貨 DDIC，單季營收可望再季增 7%。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・定價能力是本次報告最重要的訊號：Q2 針對產品漲價 10% 後，價格依舊維持高檔不墜；瑞銀直言若供需進一步吃緊，不排除還會再漲價。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・矽光子業務 Q3 營收可望季增 30%，隨客戶 200G／lane 跨阻放大器（TIA）放量，營收占比將達 6%；毛利率較佳項目占比提升，將帶動 Q3 毛利率再進步。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・花旗認為市場對 LPO 競爭的憂慮已反應過度：LPO 業務 Q2 開始放量、Q3 起需求逐步升溫，新進入者南茂仍需數個季度才能追上；LPO 市場處發展初期、客戶尋求第二供應商屬自然現象，且 LPO 有助提升整體毛利率。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・籌碼面：股價自 300 元以上高點回檔約 6 成過程中，融資餘額由近 6 萬張腰斬一半，籌碼已明顯沉澱，提供股價反攻的基礎。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・瑞銀下修目標價的主因為「近期封測與光學族群本益比遭市場壓縮」而調降目標本益比——這是評價面風險而非基本面轉弱，但也意味族群評價若持續受壓，目標價仍有再降空間。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・花旗 230 元的舊目標價未於報導中揭露，調升幅度待確認。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・LPO 競爭格局仍在演變：南茂雖被判定需數季才能追上，但客戶「尋求第二供應商」本身即代表頎邦獨佔期有限，長期 ASP 與市占須追蹤。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・Q3 營收動能有一部分來自「客戶趕在晶圓代工漲價前拉貨 DDIC」的提前拉貨，須留意 Q4 是否出現拉貨空窗。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・股價自波段低點已反彈，8/4 單日漲 6.64%，短線追價風險升高。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8/5｜股價跌 6 成能重返榮耀？頎邦 Q2 毛利率大反彈　新目標價出爐外資喊買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https://www.ctee.com.tw/news/20260805700233-430201</w:t>
      </w:r>
    </w:p>
    <w:p>
      <w:pPr>
        <w:spacing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2026-08-05T00:28:21.750Z</dcterms:created>
  <dcterms:modified xsi:type="dcterms:W3CDTF">2026-08-05T00:28:21.750Z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