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鴻勁 7769　個股摘要</w:t>
      </w:r>
    </w:p>
    <w:p>
      <w:pPr>
        <w:spacing w:after="60" w:before="0" w:line="280"/>
      </w:pPr>
      <w:r>
        <w:rPr>
          <w:rFonts w:ascii="Microsoft JhengHei" w:cs="Microsoft JhengHei" w:eastAsia="Microsoft JhengHei" w:hAnsi="Microsoft JhengHei"/>
          <w:color w:val="595959"/>
          <w:sz w:val="17"/>
          <w:szCs w:val="17"/>
        </w:rPr>
        <w:t xml:space="preserve">報告日：2026/07/31（第2季法說會後）　｜　產業：半導體－測試設備（分選機 Handler）　｜　整理：2026/08/01 早盤場次</w:t>
      </w:r>
    </w:p>
    <w:p>
      <w:pPr>
        <w:pBdr>
          <w:bottom w:val="single" w:color="BFBFBF" w:sz="6" w:space="2"/>
        </w:pBdr>
        <w:spacing w:after="12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DD7EE" w:sz="2"/>
          <w:insideV w:val="single" w:color="BDD7EE" w:sz="2"/>
        </w:tblBorders>
      </w:tblPr>
      <w:tblGrid>
        <w:gridCol w:w="2360"/>
        <w:gridCol w:w="1300"/>
        <w:gridCol w:w="1300"/>
        <w:gridCol w:w="1300"/>
        <w:gridCol w:w="900"/>
        <w:gridCol w:w="2200"/>
      </w:tblGrid>
      <w:tr>
        <w:trPr>
          <w:tblHeader/>
        </w:trPr>
        <w:tc>
          <w:tcPr>
            <w:tcW w:type="dxa" w:w="2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目標價（舊）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調幅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A（推定高盛）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12,500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E7D32"/>
                <w:sz w:val="17"/>
                <w:szCs w:val="17"/>
              </w:rPr>
              <w:t xml:space="preserve">+4.2%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外資圈最高</w:t>
            </w:r>
          </w:p>
        </w:tc>
      </w:tr>
      <w:tr>
        <w:trPr>
          <w:cantSplit/>
        </w:trPr>
        <w:tc>
          <w:tcPr>
            <w:tcW w:type="dxa" w:w="23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B（推定花旗）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持平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略降目標本益比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美系外資 C（推定大摩）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加碼（維持）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10,008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10,008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持平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本場次最保守</w:t>
            </w:r>
          </w:p>
        </w:tc>
      </w:tr>
      <w:tr>
        <w:trPr>
          <w:cantSplit/>
        </w:trPr>
        <w:tc>
          <w:tcPr>
            <w:tcW w:type="dxa" w:w="23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〔對照〕野村（2026/07/24）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看多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11,100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－</w:t>
            </w:r>
          </w:p>
        </w:tc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－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7"/>
                <w:szCs w:val="17"/>
              </w:rPr>
              <w:t xml:space="preserve">前次收錄紀錄</w:t>
            </w:r>
          </w:p>
        </w:tc>
      </w:tr>
    </w:tbl>
    <w:p>
      <w:pPr>
        <w:spacing w:after="60" w:before="120" w:line="28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18"/>
          <w:szCs w:val="18"/>
        </w:rPr>
        <w:t xml:space="preserve">本場次目標價區間：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18"/>
          <w:szCs w:val="18"/>
        </w:rPr>
        <w:t xml:space="preserve">自 10,008～12,000 元上移至 10,008～12,500 元。</w:t>
      </w:r>
    </w:p>
    <w:p>
      <w:pPr>
        <w:spacing w:after="160" w:before="0" w:line="280"/>
      </w:pPr>
      <w:r>
        <w:rPr>
          <w:rFonts w:ascii="Microsoft JhengHei" w:cs="Microsoft JhengHei" w:eastAsia="Microsoft JhengHei" w:hAnsi="Microsoft JhengHei"/>
          <w:color w:val="595959"/>
          <w:sz w:val="16"/>
          <w:szCs w:val="16"/>
        </w:rPr>
        <w:t xml:space="preserve">經濟日報（8/1）指出，出具報告的三家外資為高盛、花旗、摩根士丹利（大摩），皆維持「買進」及「優於大盤」評等。上表券商與目標價的對應係依各家前次目標價推定（高盛前值 12,000、大摩前值 10,008），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6"/>
          <w:szCs w:val="16"/>
        </w:rPr>
        <w:t xml:space="preserve">個別對應關係待確認</w:t>
      </w:r>
      <w:r>
        <w:rPr>
          <w:rFonts w:ascii="Microsoft JhengHei" w:cs="Microsoft JhengHei" w:eastAsia="Microsoft JhengHei" w:hAnsi="Microsoft JhengHei"/>
          <w:color w:val="595959"/>
          <w:sz w:val="16"/>
          <w:szCs w:val="16"/>
        </w:rPr>
        <w:t xml:space="preserve">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共同論點（三家外資一致）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AI 晶片封裝尺寸放大、高階測試需求增加及公司擴產，是推升鴻勁營運成長動能的三大主軸。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2027 年產能擴充計畫明確：公司將 2026 年產能年增幅由原先預期的 40% 提升至 45%，2027 年維持年增 50% 目標。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新增產能主要布局台灣及中國大陸，以因應 AI GPU、CPU 及 ASIC 測試設備需求。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美系外資 A（目標價 12,500 元，買進）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第2季法說會釋出強勁成長訊號，公司已取得多項專案，客戶需求能見度延伸至 2027 年。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大尺寸封裝測試方案滲透速度超乎預期；平均售價較目前主流 GPU 分選機（Handler）高出 20～25%，將推升單機價值。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看好 AI ASIC、車用晶片及美國電動車客戶帶動測試需求成長；下一代 AI 晶片散熱規格提高，有助設備 ASP 提升。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獲利預估調整：因第2季獲利低於預期，今年獲利預期調降 4.4%；明、後兩年獲利預期則調升 0.5% 及 4.2%。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美系外資 B（目標價 11,000 元，買進）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2026 年下半年將受惠 Google TPU、Tesla AI5 及 AMD CPU 等專案出貨，帶動主動溫控分選機（ATC Handler）需求成長。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展望 2027 年，除設備出貨量增加外，大型封裝托盤、高散熱規格及 AOI 導入也將推升產品價值。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看好中國大陸市場成長動能，據此調升 2026～2028 年獲利預期 1%、6% 及 6%。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考量產業評價受總體經濟不確定性影響，略微調降目標本益比，故目標價與評等均維持不變。</w:t>
      </w:r>
    </w:p>
    <w:p>
      <w:pPr>
        <w:pStyle w:val="Heading3"/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21"/>
          <w:szCs w:val="21"/>
        </w:rPr>
        <w:t xml:space="preserve">美系外資 C（目標價 10,008 元，加碼）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鴻勁持續加速擴產（2026 產能成長目標 40%→45%、2027 維持 50%），是 AI 測試市場擴張的重要受惠廠商。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認為近期股價回檔提供投資切入機會，維持「加碼」評等及目標價不變。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三、公司面與股價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2026 年第2季及上半年獲利動能持續強勁，雙雙改寫新高。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AI 相關測試設備需求持續增溫，目前產能持續滿載到年底；2027 年規畫再擴產 50%。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000000"/>
          <w:sz w:val="20"/>
          <w:szCs w:val="20"/>
        </w:rPr>
        <w:t xml:space="preserve">7/31 隨大盤強彈，跳空鎖漲停 6,180 元。以最高目標價 12,500 元計算，隱含上檔空間逾一倍（依收盤價推算，供參）。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四、風險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第2季獲利已低於外資 A 預期，該行因此下修今年獲利 4.4% — 短期獲利兌現能力需持續追蹤。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產業評價受總體經濟不確定性影響，外資 B 已略微調降目標本益比；評價（本益比）壓縮風險大於獲利預估風險。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目標價分歧度高（10,008～12,500 元，價差約 25%），三家對擴產效益轉化為獲利的節奏看法不一。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大幅擴產（2026 +45%、2027 +50%）若遇 AI 資本支出放緩，新增產能折舊將壓抑毛利率。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客戶集中於少數 AI 大廠專案（Google TPU、Tesla AI5、AMD CPU），單一專案遞延對出貨節奏影響大。</w:t>
      </w:r>
    </w:p>
    <w:p>
      <w:pPr>
        <w:spacing w:after="7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color w:val="C00000"/>
          <w:sz w:val="20"/>
          <w:szCs w:val="20"/>
        </w:rPr>
        <w:t xml:space="preserve">股價 7/31 已鎖漲停、波動劇烈；夜盤台指期同日重挫逾 1,500 點，短線追高風險偏高。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五、來源連結</w:t>
      </w:r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《半導體》鴻勁強彈攻頂 外資看旺後市、目標價上看1.25萬（中時新聞網／時報資訊 林資傑，2026-07-31 11:30） </w:t>
      </w:r>
      <w:hyperlink w:history="1" r:id="rIdvmsy5wn4e2ihbx8pbzh-6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https://www.chinatimes.com/realtimenews/20260731002054-260410</w:t>
        </w:r>
      </w:hyperlink>
    </w:p>
    <w:p>
      <w:pPr>
        <w:spacing w:after="60" w:line="280"/>
        <w:ind w:left="280" w:hanging="200"/>
      </w:pPr>
      <w:r>
        <w:rPr>
          <w:rFonts w:ascii="Microsoft JhengHei" w:cs="Microsoft JhengHei" w:eastAsia="Microsoft JhengHei" w:hAnsi="Microsoft JhengHei"/>
          <w:color w:val="1F3864"/>
          <w:sz w:val="18"/>
          <w:szCs w:val="18"/>
        </w:rPr>
        <w:t xml:space="preserve">▪  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鴻勁目標價喊到12,500（經濟日報，2026-08-01 00:47） </w:t>
      </w:r>
      <w:hyperlink w:history="1" r:id="rIdt5iymxpbfkza0uvtiscnc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https://udn.com/news/story/7251/9663635</w:t>
        </w:r>
      </w:hyperlink>
    </w:p>
    <w:p>
      <w:pPr>
        <w:pBdr>
          <w:bottom w:val="single" w:color="BFBFBF" w:sz="6" w:space="2"/>
        </w:pBdr>
        <w:spacing w:after="12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00" w:before="0" w:line="2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595959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msy5wn4e2ihbx8pbzh-6" Type="http://schemas.openxmlformats.org/officeDocument/2006/relationships/hyperlink" Target="https://www.chinatimes.com/realtimenews/20260731002054-260410" TargetMode="External"/><Relationship Id="rIdt5iymxpbfkza0uvtiscnc" Type="http://schemas.openxmlformats.org/officeDocument/2006/relationships/hyperlink" Target="https://udn.com/news/story/7251/9663635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旺來 wowwow31001</dc:creator>
  <cp:lastModifiedBy>Un-named</cp:lastModifiedBy>
  <cp:revision>1</cp:revision>
  <dcterms:created xsi:type="dcterms:W3CDTF">2026-08-01T00:20:52.115Z</dcterms:created>
  <dcterms:modified xsi:type="dcterms:W3CDTF">2026-08-01T00:20:52.115Z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