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0"/>
          <w:szCs w:val="30"/>
        </w:rPr>
        <w:t xml:space="preserve">鴻勁（7769）｜法人維持買進、目標價 7,000 元</w:t>
      </w:r>
    </w:p>
    <w:p>
      <w:pPr>
        <w:pBdr>
          <w:bottom w:val="single" w:color="9DB4CE" w:sz="6" w:space="4"/>
        </w:pBdr>
        <w:spacing w:after="200"/>
      </w:pPr>
      <w:r>
        <w:rPr>
          <w:rFonts w:ascii="Microsoft JhengHei" w:cs="Microsoft JhengHei" w:eastAsia="Microsoft JhengHei" w:hAnsi="Microsoft JhengHei"/>
          <w:b w:val="false"/>
          <w:bCs w:val="false"/>
          <w:color w:val="595959"/>
          <w:sz w:val="17"/>
          <w:szCs w:val="17"/>
        </w:rPr>
        <w:t xml:space="preserve">2026/08/04　內資　半導體測試設備　｜　資料來源：工商時報（公開新聞整理）</w:t>
      </w:r>
    </w:p>
    <w:p>
      <w:pPr>
        <w:pBdr>
          <w:bottom w:val="single" w:color="9DB4CE" w:sz="6" w:space="2"/>
        </w:pBdr>
        <w:spacing w:after="100" w:before="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2"/>
          <w:szCs w:val="22"/>
        </w:rPr>
        <w:t xml:space="preserve">評等／目標價摘要</w:t>
      </w:r>
    </w:p>
    <w:tbl>
      <w:tblPr>
        <w:tblW w:type="dxa" w:w="121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050"/>
        <w:gridCol w:w="1900"/>
        <w:gridCol w:w="4300"/>
      </w:tblGrid>
      <w:tr>
        <w:trPr>
          <w:tblHeader/>
        </w:trPr>
        <w:tc>
          <w:tcPr>
            <w:tcW w:type="dxa" w:w="19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7"/>
                <w:szCs w:val="17"/>
              </w:rPr>
              <w:t xml:space="preserve">項目</w:t>
            </w:r>
          </w:p>
        </w:tc>
        <w:tc>
          <w:tcPr>
            <w:tcW w:type="dxa" w:w="40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7"/>
                <w:szCs w:val="17"/>
              </w:rPr>
              <w:t xml:space="preserve">內容</w:t>
            </w:r>
          </w:p>
        </w:tc>
        <w:tc>
          <w:tcPr>
            <w:tcW w:type="dxa" w:w="19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7"/>
                <w:szCs w:val="17"/>
              </w:rPr>
              <w:t xml:space="preserve">項目</w:t>
            </w:r>
          </w:p>
        </w:tc>
        <w:tc>
          <w:tcPr>
            <w:tcW w:type="dxa" w:w="43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7"/>
                <w:szCs w:val="17"/>
              </w:rPr>
              <w:t xml:space="preserve">內容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券商</w:t>
            </w:r>
          </w:p>
        </w:tc>
        <w:tc>
          <w:tcPr>
            <w:tcW w:type="dxa" w:w="4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法人（原文未具名）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外資／內資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內資</w:t>
            </w:r>
          </w:p>
        </w:tc>
      </w:tr>
      <w:tr>
        <w:tc>
          <w:tcPr>
            <w:tcW w:type="dxa" w:w="19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評等</w:t>
            </w:r>
          </w:p>
        </w:tc>
        <w:tc>
          <w:tcPr>
            <w:tcW w:type="dxa" w:w="405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買進（維持）</w:t>
            </w:r>
          </w:p>
        </w:tc>
        <w:tc>
          <w:tcPr>
            <w:tcW w:type="dxa" w:w="19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新目標價</w:t>
            </w:r>
          </w:p>
        </w:tc>
        <w:tc>
          <w:tcPr>
            <w:tcW w:type="dxa" w:w="43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7,000 元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舊目標價</w:t>
            </w:r>
          </w:p>
        </w:tc>
        <w:tc>
          <w:tcPr>
            <w:tcW w:type="dxa" w:w="4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未揭露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8/3 收盤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6,425 元（+3.96%，跳空大漲收復月線）</w:t>
            </w:r>
          </w:p>
        </w:tc>
      </w:tr>
      <w:tr>
        <w:tc>
          <w:tcPr>
            <w:tcW w:type="dxa" w:w="19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潛在漲幅</w:t>
            </w:r>
          </w:p>
        </w:tc>
        <w:tc>
          <w:tcPr>
            <w:tcW w:type="dxa" w:w="405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約 9.0%（對 8/3 收盤）</w:t>
            </w:r>
          </w:p>
        </w:tc>
        <w:tc>
          <w:tcPr>
            <w:tcW w:type="dxa" w:w="19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產業</w:t>
            </w:r>
          </w:p>
        </w:tc>
        <w:tc>
          <w:tcPr>
            <w:tcW w:type="dxa" w:w="43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半導體測試設備</w:t>
            </w:r>
          </w:p>
        </w:tc>
      </w:tr>
    </w:tbl>
    <w:p>
      <w:pPr>
        <w:pBdr>
          <w:bottom w:val="single" w:color="9DB4CE" w:sz="6" w:space="2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2"/>
          <w:szCs w:val="22"/>
        </w:rPr>
        <w:t xml:space="preserve">投資論點</w:t>
      </w:r>
    </w:p>
    <w:p>
      <w:pPr>
        <w:spacing w:after="40" w:before="40" w:line="28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・鴻勁已完成與美系大客戶合作開發的 Insertion 4 OE 設備；相較傳統半導體測試設備，不僅機台需求量增加，單價增幅更可達 20～25%。</w:t>
      </w:r>
    </w:p>
    <w:p>
      <w:pPr>
        <w:spacing w:after="40" w:before="40" w:line="28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・Insertion 4 OE 預計第四季開始出貨；若後續客戶正式進入量產，公司每月可交付 20～30 台。</w:t>
      </w:r>
    </w:p>
    <w:p>
      <w:pPr>
        <w:spacing w:after="40" w:before="40" w:line="28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・產能擴張：今年下半年產能將增加 45%，2027 年預期可再擴充 50% 以上。</w:t>
      </w:r>
    </w:p>
    <w:p>
      <w:pPr>
        <w:spacing w:after="40" w:before="40" w:line="28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・法人認為產業長線需求明確，且鴻勁具市場獨占性與產業深厚護城河，因此維持買進評等。</w:t>
      </w:r>
    </w:p>
    <w:p>
      <w:pPr>
        <w:spacing w:after="40" w:before="40" w:line="28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・鴻勁亦名列 8/3 工商時報報導之「外資近期重申看好、共識度較高之科技股 9 檔」名單（台光電、聯發科、台燿、日月光投控、欣興、頎邦、鴻勁、致茂、台達電）。</w:t>
      </w:r>
    </w:p>
    <w:p>
      <w:pPr>
        <w:pBdr>
          <w:bottom w:val="single" w:color="9DB4CE" w:sz="6" w:space="2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2"/>
          <w:szCs w:val="22"/>
        </w:rPr>
        <w:t xml:space="preserve">營運／財務數據</w:t>
      </w:r>
    </w:p>
    <w:p>
      <w:pPr>
        <w:spacing w:after="40" w:before="40" w:line="28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・Insertion 4 OE 設備單價增幅 20～25%，Q4 開始出貨，量產後月交付 20～30 台。</w:t>
      </w:r>
    </w:p>
    <w:p>
      <w:pPr>
        <w:spacing w:after="40" w:before="40" w:line="28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・下半年產能 +45%；2027 年再擴 50% 以上。</w:t>
      </w:r>
    </w:p>
    <w:p>
      <w:pPr>
        <w:spacing w:after="40" w:before="40" w:line="28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・8/3 股價跳空大漲 3.96% 收 6,425 元，收復月線，為台灣 50 成分股中的反彈先鋒之一。</w:t>
      </w:r>
    </w:p>
    <w:p>
      <w:pPr>
        <w:pBdr>
          <w:bottom w:val="single" w:color="9DB4CE" w:sz="6" w:space="2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2"/>
          <w:szCs w:val="22"/>
        </w:rPr>
        <w:t xml:space="preserve">風險與觀察重點</w:t>
      </w:r>
    </w:p>
    <w:p>
      <w:pPr>
        <w:spacing w:after="40" w:before="40" w:line="28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・目標價 7,000 元相對 8/3 收盤 6,425 元僅約 9% 上檔空間，短線潛在漲幅有限。</w:t>
      </w:r>
    </w:p>
    <w:p>
      <w:pPr>
        <w:spacing w:after="40" w:before="40" w:line="28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・Insertion 4 OE 量產時程取決於美系大客戶是否如期進入量產，客戶端遞延將直接影響 Q4 出貨與 2027 年產能利用率。</w:t>
      </w:r>
    </w:p>
    <w:p>
      <w:pPr>
        <w:spacing w:after="40" w:before="40" w:line="28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・本則為權證專欄轉述之法人觀點，券商名稱與新舊目標價原文均未揭露，數字請以正式報告為準。</w:t>
      </w:r>
    </w:p>
    <w:p>
      <w:pPr>
        <w:spacing w:after="40" w:before="40" w:line="28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・高價股在 8/10 新制上路前後的處置與波動風險，以及大盤外資期貨淨空單逾 9 萬口的整體壓力。</w:t>
      </w:r>
    </w:p>
    <w:p>
      <w:pPr>
        <w:pBdr>
          <w:bottom w:val="single" w:color="9DB4CE" w:sz="6" w:space="2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2"/>
          <w:szCs w:val="22"/>
        </w:rPr>
        <w:t xml:space="preserve">來源連結</w:t>
      </w:r>
    </w:p>
    <w:p>
      <w:pPr>
        <w:spacing w:after="30" w:before="30" w:line="26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7"/>
          <w:szCs w:val="17"/>
        </w:rPr>
        <w:t xml:space="preserve">・工商時報 8/4 03:00 — 聯發科、鴻勁 基本面具優勢 — </w:t>
      </w:r>
      <w:hyperlink w:history="1" r:id="rIdewum5l6zbuwj7wsai5y00">
        <w:r>
          <w:rPr>
            <w:rFonts w:ascii="Microsoft JhengHei" w:cs="Microsoft JhengHei" w:eastAsia="Microsoft JhengHei" w:hAnsi="Microsoft JhengHei"/>
            <w:color w:val="0563C1"/>
            <w:sz w:val="16"/>
            <w:szCs w:val="16"/>
            <w:u w:val="single"/>
          </w:rPr>
          <w:t xml:space="preserve">https://www.ctee.com.tw/news/20260804700284-430203</w:t>
        </w:r>
      </w:hyperlink>
    </w:p>
    <w:p>
      <w:pPr>
        <w:spacing w:after="30" w:before="30" w:line="26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7"/>
          <w:szCs w:val="17"/>
        </w:rPr>
        <w:t xml:space="preserve">・工商時報 8/3 — 台股去槓桿近尾聲 9檔績優股外資點燈 — </w:t>
      </w:r>
      <w:hyperlink w:history="1" r:id="rIdwrv4blk-vpxcyxm1viebv">
        <w:r>
          <w:rPr>
            <w:rFonts w:ascii="Microsoft JhengHei" w:cs="Microsoft JhengHei" w:eastAsia="Microsoft JhengHei" w:hAnsi="Microsoft JhengHei"/>
            <w:color w:val="0563C1"/>
            <w:sz w:val="16"/>
            <w:szCs w:val="16"/>
            <w:u w:val="single"/>
          </w:rPr>
          <w:t xml:space="preserve">https://www.ctee.com.tw/news/20260803700034-430201</w:t>
        </w:r>
      </w:hyperlink>
    </w:p>
    <w:p>
      <w:pPr>
        <w:pBdr>
          <w:top w:val="single" w:color="BFBFBF" w:sz="6" w:space="6"/>
        </w:pBdr>
        <w:spacing w:before="260"/>
      </w:pPr>
      <w:r>
        <w:rPr>
          <w:rFonts w:ascii="Microsoft JhengHei" w:cs="Microsoft JhengHei" w:eastAsia="Microsoft JhengHei" w:hAnsi="Microsoft JhengHei"/>
          <w:b w:val="false"/>
          <w:bCs w:val="false"/>
          <w:color w:val="595959"/>
          <w:sz w:val="16"/>
          <w:szCs w:val="16"/>
        </w:rPr>
        <w:t xml:space="preserve">本摘要依公開新聞整理，非完整報告。</w:t>
      </w:r>
    </w:p>
    <w:sectPr>
      <w:headerReference w:type="default" r:id="rId10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wum5l6zbuwj7wsai5y00" Type="http://schemas.openxmlformats.org/officeDocument/2006/relationships/hyperlink" Target="https://www.ctee.com.tw/news/20260804700284-430203" TargetMode="External"/><Relationship Id="rIdwrv4blk-vpxcyxm1viebv" Type="http://schemas.openxmlformats.org/officeDocument/2006/relationships/hyperlink" Target="https://www.ctee.com.tw/news/20260803700034-430201" TargetMode="External"/><Relationship Id="rId9" Type="http://schemas.openxmlformats.org/officeDocument/2006/relationships/fontTable" Target="fontTable.xml"/><Relationship Id="rId10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2026-08-04T11:25:30.322Z</dcterms:created>
  <dcterms:modified xsi:type="dcterms:W3CDTF">2026-08-04T11:25:30.322Z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