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2"/>
        </w:rPr>
        <w:t>鴻勁（7769）　券商觀點摘要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/>
          <w:b w:val="0"/>
          <w:sz w:val="20"/>
        </w:rPr>
        <w:t>美系外資（工商時報未具名）｜半導體－IC 測試設備（成品測試／SLT）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sz w:val="18"/>
        </w:rPr>
        <w:t>見報 2026/08/19 10:07｜工商時報 記者林資傑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6973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美系外資（未具名）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7,800 元（不變，無調整）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營收 CAGR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2026–2028 年估 40%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獲利 CAGR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2026–2028 年估 42%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毛利率預估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 年 57% 逐步提升至 2028 年 60%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ASP CAGR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2026–2028 年整體產品平均售價年複合成長 7%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二、論點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★本則為「全維持」型報告＝評等不動、目標價不動、無任何預估調整，屬論點重申而非新評價事件，訊號強度低於有數字變動的個案。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近況驗證＝2026 年 7 月自結合併營收 52.45 億元，月減 1.05%、年增近 1.01 倍，達 Q3 營收預期的 37%。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★訂單動能＝在手訂單維持強勁，AI 客製化晶片（ASIC）訂單進一步增長，加上 AI GPU／CPU 出貨持續，訂單能見度已延伸至年底。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成長動能清單＝特斯拉採用高階成品測試及系統級測試（SLT）機台、美系汽車 IDM 擴建晶圓廠、Google TPU 持續放量、輝達與超微 CPU／GPU 訂單強勁，另加中國大陸國產高階晶片測試需求增加。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產能布局＝2026 年上半年產能已增加 45%，全年產能年增 40% 的目標進度符合預期；德勝新廠預計 2027 年 Q1 投產，加上中國大陸外包夥伴在地生產與總部空間最佳化，2027、2028 年產能預估各增加 50%。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★ASP 提升邏輯＝大型封測設備自 Q4 起逐步取得更多採用，看好 2027 年出貨占比達 15%～30%、且平均售價可提升 20%～25%。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三、風險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★目標價 7,800 元未揭露目標本益比、評價年度與各年度 EPS 絕對值，僅給 CAGR，完全無法回算驗證。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★整套邏輯建立在多個單一客戶專案（特斯拉 SLT、Google TPU、輝達與超微）之上，原文未做客戶集中度情境試算。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★毛利率由 57% 升至 60% 與產能三年連續大幅擴張同時發生，擴產期的折舊與稼動率風險原文未討論。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中國大陸國產高階晶片測試需求受出口管制與地緣政治影響，屬政策敏感變數，原文未做情境分析。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「訂單能見度延伸至年底」為定性描述，未提供在手訂單金額或客戶認證進度。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券商未具名、未載報告出具日期；本則為新聞轉述非報告原文。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四、來源</w:t>
      </w:r>
    </w:p>
    <w:p>
      <w:pPr>
        <w:spacing w:after="160" w:before="0"/>
      </w:pPr>
      <w:r>
        <w:rPr>
          <w:rFonts w:ascii="Microsoft JhengHei" w:hAnsi="Microsoft JhengHei" w:eastAsia="Microsoft JhengHei"/>
          <w:b w:val="0"/>
          <w:sz w:val="18"/>
        </w:rPr>
        <w:t>https://www.ctee.com.tw/news/20260819700925-430201</w:t>
      </w:r>
    </w:p>
    <w:p>
      <w:pPr>
        <w:spacing w:after="0" w:before="0"/>
      </w:pPr>
      <w:r>
        <w:rPr>
          <w:rFonts w:ascii="Microsoft JhengHei" w:hAnsi="Microsoft JhengHei" w:eastAsia="Microsoft JhengHei"/>
          <w:b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