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34"/>
        </w:rPr>
        <w:t>個股摘要｜鴻勁(7769)　美銀證券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555555"/>
          <w:sz w:val="19"/>
        </w:rPr>
        <w:t>見報 2026/08/21 03:00　工商時報 記者簡威瑟　產業：半導體－IC測試設備（成品測試FT／系統級測試SLT）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美銀證券（★具名）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★本篇未載目標價數字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本系統既有紀錄：08/19「美系外資（工商時報未具名）」買進 7,800元（維持不變）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★本則最重要判讀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本篇與08/19已收錄之未具名美系外資報告內容高度重疊——同為「7月營收52億元達美銀預估Q3營收的37%」、「毛利率由今年57%提升至2028年60%」、同一組客戶清單。研判本場次為該筆的來源具名化，即08/19的美系外資＝美銀證券。★兩者為同一份報告，不應視為兩個獨立支持訊號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營收預估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2026年營收年增 77%、2027年年增 43%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毛利率預估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2026年 57% → 2028年 60%（受惠產品規格升級與產品組合改善）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同業對照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花旗環球證券先前已喊出「萬金」（萬元以上）期望，原文未載確切數字與出具日期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二、投資論點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1. 近況已先驗證。鴻勁7月營收52億元，已達美銀預估第三季營收的37%，進度優於預期。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2. 訂單能見度延伸至年底。受惠AI／HPC晶片測試需求，在手訂單仍然強勁，除AI GPU／CPU出貨持續之外，★AI ASIC需求進一步增強。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3. 成長催化劑清單（美銀列舉五項）：特斯拉的高階最終測試（FT）與系統級測試（SLT）分選機；美國汽車IDM客戶擴廠；Google TPU出貨穩定放量；輝達與超微CPU／GPU強勁訂單；中國大陸市場對本土高階晶片測試需求增加。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20"/>
        </w:rPr>
        <w:t>4. 毛利率被歸因為結構性改善而非景氣性。美銀將57%→60%歸因於產品規格升級與產品組合改善，而非單純稼動率提升。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三、風險與資訊缺口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★訊號性質即風險。本則為「重申買進」的論點重覆，且未載目標價數字，屬論點重申而非新評價事件；加上與08/19為同一份報告，實質上本場次對鴻勁的新增資訊只有「券商名稱由未具名變為美銀證券」一項。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★整套邏輯建立在多個單一客戶專案之上（特斯拉、Google TPU、輝達、超微、單一美系汽車IDM），原文未做客戶集中度情境試算，任一專案遞延即衝擊全年營收年增77%的假設。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★中國大陸本土高階晶片測試需求屬政策敏感變數，受出口管制與地緣政治直接影響，原文完全未討論。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★毛利率由57%升至60%的同時公司仍在連續大幅擴產（本系統08/19紀錄：2026上半年產能已增45%、全年年增40%、德勝新廠2027年Q1投產、2027與2028年產能各增50%），擴產期折舊與稼動率風險原文均未討論。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★營收年增77%與43%僅有成長率、無絕對值，且無各年度EPS絕對值、無目標本益比、無評價年度，本篇連目標價都未載，完全無法回算驗證。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★「訂單能見度延伸至年底」為定性描述，未提供在手訂單金額。花旗環球的「萬金」期望原文亦未載明確數字與出具日期，不宜當成第二個具體目標價使用。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A03030"/>
          <w:sz w:val="20"/>
        </w:rPr>
        <w:t>★美銀雖具名但未揭露分析師姓名與報告出具日期。本則為新聞轉述非報告原文。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工商時報 2026/08/21 03:00｜潛在萬金股外資點評 鴻勁客戶包：特斯拉、Google、輝達、超微需求強勁 台光電會考慮簽長約？　記者簡威瑟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https://www.ctee.com.tw/news/20260821700099-439901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sz w:val="19"/>
        </w:rPr>
        <w:t>交叉比對：本系統 processed.csv 2026-08-19「美系外資（工商時報未具名）／鴻勁(7769)／買進（維持）／7800」一筆　來源 ctee 20260819700925</w:t>
      </w:r>
    </w:p>
    <w:p>
      <w:pPr>
        <w:spacing w:after="60"/>
      </w:pPr>
      <w:r>
        <w:rPr>
          <w:rFonts w:ascii="Microsoft JhengHei" w:hAnsi="Microsoft JhengHei" w:eastAsia="Microsoft JhengHei"/>
          <w:b/>
          <w:color w:val="A03030"/>
          <w:sz w:val="19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