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30"/>
          <w:szCs w:val="30"/>
        </w:rPr>
        <w:t xml:space="preserve">鴻海（2317）券商觀點摘要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color w:val="666666"/>
          <w:sz w:val="18"/>
          <w:szCs w:val="18"/>
        </w:rPr>
        <w:t xml:space="preserve">報告日期：2026/07/22　｜　場次：2026/07/23 早盤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券商（內外資）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瑞銀證券（外資）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買進（維持）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320 元 ／ 310 元（上調）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參考股價與隱含空間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7/22 收盤 251 元，隱含上漲空間約 27%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EPS 預估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 年 17.3 → 18 元；2027 年 21 → 22 元（目標價＝2027 年 EPS × 15 倍本益比）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營收預估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 年成長率 29%→34%；2027 年 23%→28%；Q3 營收季增率預估 4%→11%</w:t>
            </w:r>
          </w:p>
        </w:tc>
      </w:tr>
    </w:tbl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論點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Q2 營收季增 19%，高於瑞銀預估的 11% 與市場共識 13%；高毛利雲端與網通業務占營收比重升至 50% 以上，智慧手機降至不到 30%。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四大成長動能：LPU 機櫃、Vera Rubin、ASIC 伺服器、一般伺服器；AI 需求強勁，伺服器動能將持續。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毛利率 2026/27 年估維持 6.1%，營益率 3.4%／3.3% 優於 2025 年的 3.2%，強勁營收動能可轉化為獲利成長。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8/12 法說會展望可望優於預期。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風險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AI 伺服器出貨節奏與新平台切換若遞延，Q3 季增 11% 預估有下修風險。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消費性電子（智慧手機）需求疲弱與匯率波動影響利潤率。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毛利率長期停留 6.1%，獲利成長高度依賴營收放大，槓桿有限。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來源連結</w:t>
      </w:r>
    </w:p>
    <w:p>
      <w:pPr>
        <w:spacing w:after="60"/>
      </w:pPr>
      <w:hyperlink w:history="1" r:id="rIdeslqnrfdozeo-1cuianoz">
        <w:r>
          <w:rPr>
            <w:rFonts w:ascii="Microsoft JhengHei" w:cs="Microsoft JhengHei" w:eastAsia="Microsoft JhengHei" w:hAnsi="Microsoft JhengHei"/>
            <w:color w:val="1155CC"/>
            <w:sz w:val="18"/>
            <w:szCs w:val="18"/>
            <w:u w:val="single"/>
          </w:rPr>
          <w:t xml:space="preserve">瑞銀：鴻海Q2營收優於預期 目標價上調至320元（經濟日報）</w:t>
        </w:r>
      </w:hyperlink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88888"/>
          <w:sz w:val="17"/>
          <w:szCs w:val="17"/>
        </w:rPr>
        <w:t xml:space="preserve">本摘要依公開新聞整理，非完整報告。數字以原始報告為準，未具名券商與「待確認」項目請自行查核。</w:t>
      </w:r>
    </w:p>
    <w:sectPr>
      <w:headerReference w:type="default" r:id="rId9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slqnrfdozeo-1cuianoz" Type="http://schemas.openxmlformats.org/officeDocument/2006/relationships/hyperlink" Target="https://udn.com/news/story/7252/9644763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2026-07-23T00:19:50.982Z</dcterms:created>
  <dcterms:modified xsi:type="dcterms:W3CDTF">2026-07-23T00:19:50.982Z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