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鴻海(2317) 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日系外資 ｜ 外資 ｜ 2026 年 08 月 13 日（盤後場次）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日系外資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內／外資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電子組裝／AI 伺服器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435 元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352（+23.6%）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見報日期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2026/08/13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二、論點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・鴻海 8/12 法說後，日系外資將目標價由 352 元上調至 435 元（+23.6%），維持「買進」評等，為本場次幅度最大的上修。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・評價方法原文明載：以 2027 年每股純益 25.57 元、17 倍本益比評價——為本場次少數完整揭露評價基礎的觀點。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・上調依據：Q2 毛利率及營益優於市場預期；除持續受惠 NVIDIA 平台需求外，Google TPU 等 ASIC 需求增加可望帶來額外訂單。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・獲利預估：2026 至 2028 年分別上調 12.8%、23.4% 及 24.9%——上調幅度逐年放大，顯示看多的是中長期而非當期。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・財報基礎：Q2 稅後純益 599.74 億元創同期新高，季增20%、年增35%，EPS 4.27 元；上半年 EPS 7.84 元（去年同期6.23元），營收4.65兆元年增35%。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三、風險與資訊落差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・券商未具名（僅稱「日系外資」），無法判斷研究品質、市場影響力，亦無法與本系統既有序列比對。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・★ 與共識落差大：同日 FactSet 共識（22位分析師）2026 年 EPS 中位數僅 18.22 元、目標價 340.79 元，日系 435 元較共識高 27.7%（本系統回算）。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・評價依據落在 2027 年 EPS 而非 2026 年，投資期間拉長一年，隱含當期評價其實不便宜；17 倍本益比的選取理由原文未說明。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・市場已用腳投票：8/13 鴻海開高走低，以 274.5 元紅盤開出後翻黑，終場收 262 元跌 2.96%、成交9.2萬張，為當日賣壓湧現個股。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・公司自述 Q3 電腦終端產品因新品需求高峰已過及記憶體供應吃緊，預期營收略微季減；此一逆風原文未納入討論。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四、來源連結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18"/>
        </w:rPr>
        <w:t>https://www.ftnn.com.tw/news/569757</w:t>
      </w:r>
    </w:p>
    <w:p>
      <w:pPr>
        <w:spacing w:after="40" w:before="160"/>
      </w:pPr>
      <w:r>
        <w:rPr>
          <w:rFonts w:ascii="Microsoft JhengHei" w:hAnsi="Microsoft JhengHei" w:eastAsia="Microsoft JhengHei"/>
          <w:b w:val="0"/>
          <w:color w:val="70707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