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鴻海(2317) 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美系外資 ｜ 外資 ｜ 2026 年 08 月 13 日（盤後場次）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美系外資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內／外資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電子組裝／AI 伺服器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400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360（+11.1%）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見報日期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2026/08/13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二、論點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・美系外資將鴻海目標價由 360 元上調至 400 元（+11.1%），維持「買進」評等。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・上調依據：Q2 財報優於市場、訂單能見度提升；認為 AI 機櫃、客製化晶片（ASIC）及網通需求將帶動營運進入另一波高峰。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・獲利預估：2026 至 2028 年分別調漲 8%、3% 及 8%——調幅明顯小於日系外資的 12.8%／23.4%／24.9%，兩家對成長斜率的看法差距不小。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・公司展望佐證：輪值CEO蔣集恆表示新一代 VR 機櫃 Q3 量產目標不變、Q4 開始出貨，明年將成主力產品；GB系列需求至少延續至明年，AI 機櫃出貨逐季成長預期不變，Q3 出貨高雙位數季增、全年倍數以上成長。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・網通：800G 以上高速交換機今年營收有望倍增，CPO 全光交換機 Q3 進入量產出貨。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三、風險與資訊落差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・券商未具名（僅稱「美系外資」），未載報告出具日期，未揭露 EPS 預估絕對值、本益比與評價年度，400 元無法回算。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・同日同一媒體報導的日系外資給 435 元，兩家差距 8.75%，且獲利上調幅度差異達近三倍，顯示外資內部對 AI 機櫃放量斜率分歧。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・FactSet 共識目標價 340.79 元，美系 400 元較共識高 17.4%（本系統回算）。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・資本支出將年增超過 3 成（2024年1,363億元、2025年1,738億元），折舊壓力對毛利率的稀釋原文未討論；鴻海 Q2 毛利率僅 6.12%，本就是薄利模式。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・8/13 股價收 262 元跌 2.96%，利多不漲。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四、來源連結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https://www.ftnn.com.tw/news/569757</w:t>
      </w:r>
    </w:p>
    <w:p>
      <w:pPr>
        <w:spacing w:after="40" w:before="160"/>
      </w:pPr>
      <w:r>
        <w:rPr>
          <w:rFonts w:ascii="Microsoft JhengHei" w:hAnsi="Microsoft JhengHei" w:eastAsia="Microsoft JhengHei"/>
          <w:b w:val="0"/>
          <w:color w:val="70707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