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摩根大通｜AI 超級循環 15 台廠「優於大盤」（策略清單）</w:t>
      </w:r>
    </w:p>
    <w:p>
      <w:pPr>
        <w:spacing w:after="140" w:line="276"/>
      </w:pPr>
      <w:r>
        <w:rPr>
          <w:rFonts w:ascii="Microsoft JhengHei" w:eastAsia="Microsoft JhengHei" w:hAnsi="Microsoft JhengHei"/>
          <w:b w:val="false"/>
          <w:bCs w:val="false"/>
          <w:color w:val="555555"/>
          <w:sz w:val="19"/>
          <w:szCs w:val="19"/>
        </w:rPr>
        <w:t xml:space="preserve">2026/08/27　出處：經濟日報 08/27 18:22（記者魏興中）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券商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摩根大通證券（小摩）｜外資｜★具名：科技產業分析師 洪一軒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報告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最新「亞洲硬體科技產業」報告（★新聞轉述，未載報告日期）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評等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 檔全數「優於大盤」（★未載新舊評等變動）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目標價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★原文未載任何個股目標價</w:t>
            </w:r>
          </w:p>
        </w:tc>
      </w:tr>
    </w:tbl>
    <w:p>
      <w:pPr>
        <w:spacing w:after="8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15 檔名單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100"/>
      </w:tblGrid>
      <w:tr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個股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代號</w:t>
            </w:r>
          </w:p>
        </w:tc>
        <w:tc>
          <w:tcPr>
            <w:tcW w:type="dxa" w:w="5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供應鏈角色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台積電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2330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晶圓代工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日月光投控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3711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封測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聯發科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2454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IC設計／AI ASIC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創意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3443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ASIC設計服務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世芯-KY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3661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ASIC設計服務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台達電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2308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電源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奇鋐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3017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散熱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信驊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5274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BMC晶片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南亞科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2408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記憶體DRAM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欣興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3037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ABF載板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台光電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2383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CCL銅箔基板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智邦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2345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網通／白牌交換器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緯穎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6669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伺服器ODM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鴻海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2317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組裝／ODM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廣達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2382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組裝／ODM</w:t>
            </w:r>
          </w:p>
        </w:tc>
      </w:tr>
    </w:tbl>
    <w:p>
      <w:pPr>
        <w:spacing w:after="8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AI 基礎設施「超級循環」需求全面爆發：CSP 與企業端 2026–2030 年投入估達 5.5 兆美元，提供堅實財務基礎。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輝達產品迭代（GB200→GB300→Vera Rubin VR200→Rubin Ultra）帶動 AI 伺服器系統總造價飆升 90%。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AI 由訓練轉向大規模推論，自研 ASIC 成 CSP 降本必然選擇：Google TPU 生態系估 2028 年出貨 1,000 萬顆、占 ASIC 市場半壁江山；亞馬遜大規模部署自家晶片。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通用伺服器逆襲：2024–2028 年全球通用伺服器 CPU 出貨由 2,210 萬顆增至 6,790 萬顆，驅動 2025–2028 年通用伺服器營收 CAGR 53%。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周邊供應鏈量價齊揚：2022–2028 年資料中心電源市場 CAGR 80%（史無前例）；2025–2028 年白牌交換器市場 CAGR 75%。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風險與保留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★僅評等、無目標價，無法回算隱含空間；論點屬產業層級，非逐檔個股論點。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★新聞轉述非報告原文；未載報告日期、新舊評等變動與估值基準。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★隱含反方情境：若 AI 資本支出降溫，超級循環敘事與 15 檔評等同步承壓（本系統標註）。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spacing w:after="40"/>
      </w:pPr>
      <w:hyperlink w:history="1" r:id="rIdcmsnqppjjqzqlwogdmfey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https://money.udn.com/money/story/5607/9718316</w:t>
        </w:r>
      </w:hyperlink>
    </w:p>
    <w:p>
      <w:pPr>
        <w:spacing w:after="6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本摘要依公開新聞整理，非完整報告。數字以原始報導為準，標註「★」者為待確認或本系統回算項目。僅供旺來個人研究參考，不構成投資建議。</w:t>
      </w:r>
    </w:p>
    <w:sectPr>
      <w:headerReference w:type="default" r:id="rId99"/>
      <w:pgSz w:w="11906" w:h="16838" w:orient="portrait"/>
      <w:pgMar w:top="1100" w:right="1240" w:bottom="10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snqppjjqzqlwogdmfey" Type="http://schemas.openxmlformats.org/officeDocument/2006/relationships/hyperlink" Target="https://money.udn.com/money/story/5607/9718316" TargetMode="External"/><Relationship Id="rId8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2026-08-27T11:29:52.984Z</dcterms:created>
  <dcterms:modified xsi:type="dcterms:W3CDTF">2026-08-27T11:29:52.984Z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