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480" w:lineRule="auto"/>
        <w:jc w:val="center"/>
        <w:rPr>
          <w:rFonts w:ascii="Times New Roman" w:cs="Times New Roman" w:eastAsia="Times New Roman" w:hAnsi="Times New Roman"/>
          <w:b w:val="1"/>
          <w:sz w:val="24"/>
          <w:szCs w:val="24"/>
        </w:rPr>
      </w:pPr>
      <w:bookmarkStart w:colFirst="0" w:colLast="0" w:name="_1pb32hiflz3o" w:id="0"/>
      <w:bookmarkEnd w:id="0"/>
      <w:r w:rsidDel="00000000" w:rsidR="00000000" w:rsidRPr="00000000">
        <w:rPr>
          <w:rFonts w:ascii="Times New Roman" w:cs="Times New Roman" w:eastAsia="Times New Roman" w:hAnsi="Times New Roman"/>
          <w:b w:val="1"/>
          <w:sz w:val="24"/>
          <w:szCs w:val="24"/>
          <w:rtl w:val="0"/>
        </w:rPr>
        <w:t xml:space="preserve">Additional Analyses: Distinguishing Human vs. LLM Responses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differences in descriptive statistics and psychometric performance, the distinction between LLM responses and human responses can be further examined by mixing the two types of data for a classification task. If LLM can mimic human responses, it would be very difficult to differentiate between human respondents and LLM respondents in a combined dataset. Specifically, we used a logistic regression model to evaluate and identify potential differences between these two types of data. </w:t>
      </w:r>
    </w:p>
    <w:p w:rsidR="00000000" w:rsidDel="00000000" w:rsidP="00000000" w:rsidRDefault="00000000" w:rsidRPr="00000000" w14:paraId="00000003">
      <w:pPr>
        <w:pStyle w:val="Heading2"/>
        <w:spacing w:after="0" w:before="0" w:line="480" w:lineRule="auto"/>
        <w:jc w:val="both"/>
        <w:rPr>
          <w:rFonts w:ascii="Times New Roman" w:cs="Times New Roman" w:eastAsia="Times New Roman" w:hAnsi="Times New Roman"/>
          <w:b w:val="1"/>
          <w:sz w:val="24"/>
          <w:szCs w:val="24"/>
        </w:rPr>
      </w:pPr>
      <w:bookmarkStart w:colFirst="0" w:colLast="0" w:name="_qiidgjzcp5ax" w:id="1"/>
      <w:bookmarkEnd w:id="1"/>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Scikit-learn library (Pedregosa et al., 2011) to implement the logistic regression model on BFI-2 LLM responses and human responses, as well as HEXACO-100 LLM responses and human responses. LLM responses were considered the positive class, while human responses were considered the negative class (binary dependent variable). And for the independent variable features (input features) of the logistic regression model, we have two approaches, (1) the mean and standard deviation of all items as independent variable features, and (2) individual items themselves as independent variable features. Using the mean and standard deviation of all items as input features can be seen as a simplified approach to processing all item features. It also serves as a higher-level aggregation analysis method, providing a general reflection of the overall statistical properties of the data.</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same processing method to the BFI-2 and HEXACO data. To ensure a balanced analysis environment, we randomly selected 300 samples from the human response data to compare with the LLM responses in each group (with sample sizes close to 300) and conducted the analysis using logistic regression. To avoid selection bias, we repeated the random sampling of human data 50 times. For each analysis, we used five-fold cross-validation to ensure the robustness of the results. Specifically, we divided the data into five parts, training and validating the model on each part to improve the reliability of the results.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models were evaluated separately for each LLM configuration to ascertain specific performance metrics. The outcomes of these analyses were quantitatively summarized in terms of mean and standard deviation across the 50 replications for key performance metrics such as accuracy, precision, recall, and F1 score. These results have been comprehensively detailed in Table 1 and Table 2. If LLM responses were highly similar to human responses, the classification accuracy should be close to random. If the classification accuracy is higher than random, it indicates that LLM responses are distinct from human responses, and they cannot replace human participants in psychometric research. </w:t>
      </w:r>
    </w:p>
    <w:p w:rsidR="00000000" w:rsidDel="00000000" w:rsidP="00000000" w:rsidRDefault="00000000" w:rsidRPr="00000000" w14:paraId="00000007">
      <w:pPr>
        <w:pStyle w:val="Heading2"/>
        <w:spacing w:after="0" w:before="0" w:line="480" w:lineRule="auto"/>
        <w:jc w:val="both"/>
        <w:rPr>
          <w:rFonts w:ascii="Times New Roman" w:cs="Times New Roman" w:eastAsia="Times New Roman" w:hAnsi="Times New Roman"/>
          <w:b w:val="1"/>
          <w:sz w:val="24"/>
          <w:szCs w:val="24"/>
        </w:rPr>
      </w:pPr>
      <w:bookmarkStart w:colFirst="0" w:colLast="0" w:name="_ir6asukvwznc" w:id="2"/>
      <w:bookmarkEnd w:id="2"/>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8">
      <w:pPr>
        <w:pStyle w:val="Heading3"/>
        <w:spacing w:line="480" w:lineRule="auto"/>
        <w:rPr/>
      </w:pPr>
      <w:bookmarkStart w:colFirst="0" w:colLast="0" w:name="_q0hqmot64d9p" w:id="3"/>
      <w:bookmarkEnd w:id="3"/>
      <w:r w:rsidDel="00000000" w:rsidR="00000000" w:rsidRPr="00000000">
        <w:rPr>
          <w:rtl w:val="0"/>
        </w:rPr>
        <w:t xml:space="preserve">Mean and Standard Deviation of All Items As Input Features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1 shows the results when the mean and standard deviation of all items used as input features. For the BFI-2 data, a clear pattern emerged: the accuracy, precision, recall, and F1 score metrics of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for the GPT series models were consistently lower than those of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0.74). This suggested that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generates simulated data that is more similar to human responses than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However, the relatively high accuracy and other metrics still showed discernible differences compared to human responses. Additionally, the Llama3-generated LLM responses for the BFI-2 personality scale were comparatively closer to human responses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0.64). The standard deviations of all results were very small, indicating the stability of these findings.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HEXACO-100 data, a similar pattern was observed where the accuracy and precision metrics of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in the GPT series models were also lower than those of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However, the differences were larger compared to the BFI-2 data. This suggested that for the HEXACO-100 personality scale, the differences between LLM responses generated by the GPT series models using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methods were larger, and HEXACO-100 GPT series models’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methods data were closer to human responses. The relatively high accuracy and other metrics still showed discernible differences compared to human responses. Also, the Llama3-generated LLM responses for the HEXACO-100 personality scale were comparatively closer to human responses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0.56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0.56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Additionally, the standard deviations of the results were very small, indicating that these results were stable.</w:t>
      </w:r>
    </w:p>
    <w:p w:rsidR="00000000" w:rsidDel="00000000" w:rsidP="00000000" w:rsidRDefault="00000000" w:rsidRPr="00000000" w14:paraId="0000000B">
      <w:pPr>
        <w:pStyle w:val="Heading3"/>
        <w:spacing w:line="480" w:lineRule="auto"/>
        <w:rPr/>
      </w:pPr>
      <w:bookmarkStart w:colFirst="0" w:colLast="0" w:name="_tstr7q49m0ac" w:id="4"/>
      <w:bookmarkEnd w:id="4"/>
      <w:r w:rsidDel="00000000" w:rsidR="00000000" w:rsidRPr="00000000">
        <w:rPr>
          <w:rtl w:val="0"/>
        </w:rPr>
        <w:t xml:space="preserve">Individual Items Themselves As Input Features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2 shows the results when the individual items themselves are used as input features. For the BFI-2 data, similar to the findings when the mean and standard deviation of all items were used as input features, the accuracy, precision, recall, and F1 score metrics of the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method for the GPT-4 model were also lower than those of the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method. However, for the GPT-3 model, they were comparable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0.95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HEXACO-100 data, a similar pattern was observed where the accuracy and precision metrics of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in the GPT-4 model were also lower than those of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whereas in the GPT-3 model, they were comparable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w:t>
      </w:r>
    </w:p>
    <w:p w:rsidR="00000000" w:rsidDel="00000000" w:rsidP="00000000" w:rsidRDefault="00000000" w:rsidRPr="00000000" w14:paraId="0000000E">
      <w:pPr>
        <w:pStyle w:val="Heading3"/>
        <w:spacing w:line="480" w:lineRule="auto"/>
        <w:rPr/>
      </w:pPr>
      <w:bookmarkStart w:colFirst="0" w:colLast="0" w:name="_ioxhoqomlea4" w:id="5"/>
      <w:bookmarkEnd w:id="5"/>
      <w:r w:rsidDel="00000000" w:rsidR="00000000" w:rsidRPr="00000000">
        <w:rPr>
          <w:rtl w:val="0"/>
        </w:rPr>
        <w:t xml:space="preserve">Comparison of Two Approaches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Table 1 and Table 2 reveals a striking improvement in accuracy when individual items are used as input features for logistic regression. This approach demonstrates a near-perfect ability to differentiate between LLM responses and human responses. The enhanced performance suggests that individual item-level features capture richer, more granular information than aggregate-level features, enabling a more precise detection of differences between LLM and human responses. This finding aligns with the descriptive statistics and psychometric performance analyses presented in the main text, which indicate that while LLMs can approximate higher-level aggregated patterns more closely, they struggle to accurately simulate finer-grained, item-specific characteristics.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Regardless of the method employed, although the classification accuracy for different LLM responses varied, all consistently exceeded 0.50, the threshold for random classification. This result underscores the significant distinctions between responses generated by LLMs and those produced by humans.</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Classification Results between LLM Responses and Human Responses (Mean and Standard Deviation of All Items As Input Features)</w:t>
      </w:r>
      <w:r w:rsidDel="00000000" w:rsidR="00000000" w:rsidRPr="00000000">
        <w:rPr>
          <w:rtl w:val="0"/>
        </w:rPr>
      </w:r>
    </w:p>
    <w:tbl>
      <w:tblPr>
        <w:tblStyle w:val="Table1"/>
        <w:tblW w:w="131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Change w:id="0">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
        </w:tblGridChange>
      </w:tblGrid>
      <w:tr>
        <w:trPr>
          <w:cantSplit w:val="0"/>
          <w:trHeight w:val="31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Responses</w:t>
            </w:r>
          </w:p>
        </w:tc>
        <w:tc>
          <w:tcPr>
            <w:gridSpan w:val="8"/>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BFI-2</w:t>
            </w:r>
          </w:p>
        </w:tc>
        <w:tc>
          <w:tcPr>
            <w:gridSpan w:val="8"/>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HEXACO-100</w:t>
            </w:r>
          </w:p>
        </w:tc>
      </w:tr>
      <w:tr>
        <w:trPr>
          <w:cantSplit w:val="0"/>
          <w:trHeight w:val="315" w:hRule="atLeast"/>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rPr>
          <w:cantSplit w:val="0"/>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Llama3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Llama3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bl>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BFI-2,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for HEXACO-100,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Classification Results between LLM Responses and Human Responses (Individual Items Themselves As Input Features)</w:t>
      </w:r>
      <w:r w:rsidDel="00000000" w:rsidR="00000000" w:rsidRPr="00000000">
        <w:rPr>
          <w:rtl w:val="0"/>
        </w:rPr>
      </w:r>
    </w:p>
    <w:tbl>
      <w:tblPr>
        <w:tblStyle w:val="Table2"/>
        <w:tblW w:w="131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Change w:id="0">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
        </w:tblGridChange>
      </w:tblGrid>
      <w:tr>
        <w:trPr>
          <w:cantSplit w:val="0"/>
          <w:trHeight w:val="31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Responses</w:t>
            </w:r>
          </w:p>
        </w:tc>
        <w:tc>
          <w:tcPr>
            <w:gridSpan w:val="8"/>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BFI-2</w:t>
            </w:r>
          </w:p>
        </w:tc>
        <w:tc>
          <w:tcPr>
            <w:gridSpan w:val="8"/>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HEXACO-100</w:t>
            </w:r>
          </w:p>
        </w:tc>
      </w:tr>
      <w:tr>
        <w:trPr>
          <w:cantSplit w:val="0"/>
          <w:trHeight w:val="315" w:hRule="atLeast"/>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rPr>
          <w:cantSplit w:val="0"/>
          <w:trHeight w:val="350.9765625" w:hRule="atLeast"/>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4" w:val="single"/>
              <w:left w:color="cccccc" w:space="0" w:sz="4" w:val="single"/>
              <w:bottom w:color="999999"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w:t>
            </w:r>
          </w:p>
        </w:tc>
        <w:tc>
          <w:tcPr>
            <w:tcBorders>
              <w:top w:color="999999"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GPT3.5</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GPT4</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GPT4</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Llama3</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Llama3</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bl>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BFI-2,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for HEXACO-100,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Style w:val="Heading1"/>
      <w:spacing w:after="0" w:before="0" w:line="480" w:lineRule="auto"/>
      <w:rPr>
        <w:rFonts w:ascii="Times New Roman" w:cs="Times New Roman" w:eastAsia="Times New Roman" w:hAnsi="Times New Roman"/>
        <w:sz w:val="24"/>
        <w:szCs w:val="24"/>
      </w:rPr>
    </w:pPr>
    <w:bookmarkStart w:colFirst="0" w:colLast="0" w:name="_am3pvg54hhj3" w:id="6"/>
    <w:bookmarkEnd w:id="6"/>
    <w:r w:rsidDel="00000000" w:rsidR="00000000" w:rsidRPr="00000000">
      <w:rPr>
        <w:rFonts w:ascii="Times New Roman" w:cs="Times New Roman" w:eastAsia="Times New Roman" w:hAnsi="Times New Roman"/>
        <w:sz w:val="24"/>
        <w:szCs w:val="24"/>
        <w:rtl w:val="0"/>
      </w:rPr>
      <w:t xml:space="preserve">DISTINGUISHING HUMAN VS. LLM RESPONSES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