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D8E54" w14:textId="5285CBD7" w:rsidR="00023BF8" w:rsidRDefault="00023BF8" w:rsidP="00023BF8">
      <w:pPr>
        <w:pStyle w:val="Heading1"/>
      </w:pPr>
      <w:r>
        <w:t>Summary of Quality Tests for Alternative Synthetic Data Models</w:t>
      </w:r>
    </w:p>
    <w:p w14:paraId="6E6592E9" w14:textId="7F8859A6" w:rsidR="001C0059" w:rsidRPr="001C0059" w:rsidRDefault="001C0059" w:rsidP="001C0059">
      <w:pPr>
        <w:pStyle w:val="Heading2"/>
      </w:pPr>
      <w:r>
        <w:t>Description of Alternative Models</w:t>
      </w:r>
    </w:p>
    <w:p w14:paraId="30A0157F" w14:textId="4D3E7684" w:rsidR="00023BF8" w:rsidRDefault="00023BF8" w:rsidP="0002048E">
      <w:r>
        <w:t>Along with the CTGAN model reported in the manuscript</w:t>
      </w:r>
      <w:r w:rsidR="00A76ACE">
        <w:t xml:space="preserve"> for Study 2</w:t>
      </w:r>
      <w:r>
        <w:t>, we considered several alternatives</w:t>
      </w:r>
      <w:r w:rsidR="00A76ACE">
        <w:t xml:space="preserve"> models that were generated using different approaches</w:t>
      </w:r>
      <w:r>
        <w:t xml:space="preserve"> </w:t>
      </w:r>
      <w:r w:rsidR="00A76ACE">
        <w:t xml:space="preserve">or </w:t>
      </w:r>
      <w:r>
        <w:t>parameters. Those models, and their specific</w:t>
      </w:r>
      <w:r w:rsidR="000575B0">
        <w:t>ations,</w:t>
      </w:r>
      <w:r>
        <w:t xml:space="preserve"> are listed below</w:t>
      </w:r>
      <w:r w:rsidR="0002048E">
        <w:t xml:space="preserve">. </w:t>
      </w:r>
      <w:r w:rsidR="0002048E">
        <w:t>For each model, we conducted several of the same quality tests that we reported in the manuscript.</w:t>
      </w:r>
    </w:p>
    <w:tbl>
      <w:tblPr>
        <w:tblW w:w="6129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09"/>
        <w:gridCol w:w="1810"/>
        <w:gridCol w:w="1810"/>
      </w:tblGrid>
      <w:tr w:rsidR="00023BF8" w:rsidRPr="00023BF8" w14:paraId="36ACA065" w14:textId="1062601A" w:rsidTr="001C0059">
        <w:trPr>
          <w:trHeight w:val="300"/>
          <w:jc w:val="center"/>
        </w:trPr>
        <w:tc>
          <w:tcPr>
            <w:tcW w:w="25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F449" w14:textId="732C769A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 xml:space="preserve">Model </w:t>
            </w:r>
            <w:r w:rsidR="001C0059">
              <w:rPr>
                <w:color w:val="000000"/>
              </w:rPr>
              <w:t xml:space="preserve">/Name </w:t>
            </w:r>
            <w:r w:rsidRPr="00023BF8">
              <w:rPr>
                <w:color w:val="000000"/>
              </w:rPr>
              <w:t>Number</w:t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BD804C" w14:textId="714D0CAC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Batch Size</w:t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0D782C" w14:textId="17EEDA53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Epoch</w:t>
            </w:r>
          </w:p>
        </w:tc>
      </w:tr>
      <w:tr w:rsidR="00023BF8" w:rsidRPr="00023BF8" w14:paraId="24B9E41F" w14:textId="04C808B4" w:rsidTr="001C0059">
        <w:trPr>
          <w:trHeight w:val="300"/>
          <w:jc w:val="center"/>
        </w:trPr>
        <w:tc>
          <w:tcPr>
            <w:tcW w:w="25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21E8E" w14:textId="77777777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0</w:t>
            </w:r>
          </w:p>
        </w:tc>
        <w:tc>
          <w:tcPr>
            <w:tcW w:w="1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FB0035" w14:textId="6E91FD6F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128</w:t>
            </w:r>
          </w:p>
        </w:tc>
        <w:tc>
          <w:tcPr>
            <w:tcW w:w="1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029745" w14:textId="71B4739F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500</w:t>
            </w:r>
          </w:p>
        </w:tc>
      </w:tr>
      <w:tr w:rsidR="00023BF8" w:rsidRPr="00023BF8" w14:paraId="09A78283" w14:textId="4371D62F" w:rsidTr="001C0059">
        <w:trPr>
          <w:trHeight w:val="300"/>
          <w:jc w:val="center"/>
        </w:trPr>
        <w:tc>
          <w:tcPr>
            <w:tcW w:w="2509" w:type="dxa"/>
            <w:shd w:val="clear" w:color="auto" w:fill="auto"/>
            <w:noWrap/>
            <w:vAlign w:val="center"/>
            <w:hideMark/>
          </w:tcPr>
          <w:p w14:paraId="0A71514E" w14:textId="77777777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020C5E7" w14:textId="32C494F9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128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13291AF" w14:textId="3A93D1D3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1000</w:t>
            </w:r>
          </w:p>
        </w:tc>
      </w:tr>
      <w:tr w:rsidR="00023BF8" w:rsidRPr="00023BF8" w14:paraId="33586F61" w14:textId="0C0B9A6E" w:rsidTr="001C0059">
        <w:trPr>
          <w:trHeight w:val="300"/>
          <w:jc w:val="center"/>
        </w:trPr>
        <w:tc>
          <w:tcPr>
            <w:tcW w:w="2509" w:type="dxa"/>
            <w:shd w:val="clear" w:color="auto" w:fill="auto"/>
            <w:noWrap/>
            <w:vAlign w:val="center"/>
            <w:hideMark/>
          </w:tcPr>
          <w:p w14:paraId="7A46A072" w14:textId="77777777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2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802486A" w14:textId="53E55C6D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128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43015C0" w14:textId="21179419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2000</w:t>
            </w:r>
          </w:p>
        </w:tc>
      </w:tr>
      <w:tr w:rsidR="00023BF8" w:rsidRPr="00023BF8" w14:paraId="5EAE2D58" w14:textId="33BF3709" w:rsidTr="001C0059">
        <w:trPr>
          <w:trHeight w:val="300"/>
          <w:jc w:val="center"/>
        </w:trPr>
        <w:tc>
          <w:tcPr>
            <w:tcW w:w="2509" w:type="dxa"/>
            <w:shd w:val="clear" w:color="auto" w:fill="auto"/>
            <w:noWrap/>
            <w:vAlign w:val="center"/>
            <w:hideMark/>
          </w:tcPr>
          <w:p w14:paraId="62B5A045" w14:textId="0E7E9536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3</w:t>
            </w:r>
            <w:r w:rsidR="00942B07">
              <w:rPr>
                <w:color w:val="000000"/>
              </w:rPr>
              <w:t xml:space="preserve"> (</w:t>
            </w:r>
            <w:proofErr w:type="spellStart"/>
            <w:r w:rsidR="00942B07">
              <w:rPr>
                <w:color w:val="000000"/>
              </w:rPr>
              <w:t>ctgan</w:t>
            </w:r>
            <w:proofErr w:type="spellEnd"/>
            <w:r w:rsidR="00942B07">
              <w:rPr>
                <w:color w:val="000000"/>
              </w:rPr>
              <w:t>-worst)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BD15621" w14:textId="20993609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128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9AF3304" w14:textId="30BABE87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3000</w:t>
            </w:r>
          </w:p>
        </w:tc>
      </w:tr>
      <w:tr w:rsidR="00023BF8" w:rsidRPr="00023BF8" w14:paraId="5A380068" w14:textId="6145015F" w:rsidTr="001C0059">
        <w:trPr>
          <w:trHeight w:val="300"/>
          <w:jc w:val="center"/>
        </w:trPr>
        <w:tc>
          <w:tcPr>
            <w:tcW w:w="2509" w:type="dxa"/>
            <w:shd w:val="clear" w:color="auto" w:fill="auto"/>
            <w:noWrap/>
            <w:vAlign w:val="center"/>
            <w:hideMark/>
          </w:tcPr>
          <w:p w14:paraId="5B0E7F47" w14:textId="77777777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4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F16646D" w14:textId="072C10EC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256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F5284A9" w14:textId="4091D2F9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500</w:t>
            </w:r>
          </w:p>
        </w:tc>
      </w:tr>
      <w:tr w:rsidR="00023BF8" w:rsidRPr="00023BF8" w14:paraId="1D28D4E4" w14:textId="0BB8177F" w:rsidTr="001C0059">
        <w:trPr>
          <w:trHeight w:val="300"/>
          <w:jc w:val="center"/>
        </w:trPr>
        <w:tc>
          <w:tcPr>
            <w:tcW w:w="2509" w:type="dxa"/>
            <w:shd w:val="clear" w:color="auto" w:fill="auto"/>
            <w:noWrap/>
            <w:vAlign w:val="center"/>
            <w:hideMark/>
          </w:tcPr>
          <w:p w14:paraId="31746D13" w14:textId="77777777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5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51A5CDE" w14:textId="35577EDD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256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06A1D48" w14:textId="78AAA70B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1000</w:t>
            </w:r>
          </w:p>
        </w:tc>
      </w:tr>
      <w:tr w:rsidR="00023BF8" w:rsidRPr="00023BF8" w14:paraId="292560AB" w14:textId="71F22B32" w:rsidTr="001C0059">
        <w:trPr>
          <w:trHeight w:val="300"/>
          <w:jc w:val="center"/>
        </w:trPr>
        <w:tc>
          <w:tcPr>
            <w:tcW w:w="2509" w:type="dxa"/>
            <w:shd w:val="clear" w:color="auto" w:fill="auto"/>
            <w:noWrap/>
            <w:vAlign w:val="center"/>
            <w:hideMark/>
          </w:tcPr>
          <w:p w14:paraId="427C01A0" w14:textId="77777777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6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21A6ABE" w14:textId="45D74B21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256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2700769" w14:textId="6F6A0DD2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2000</w:t>
            </w:r>
          </w:p>
        </w:tc>
      </w:tr>
      <w:tr w:rsidR="00023BF8" w:rsidRPr="00023BF8" w14:paraId="7E75C844" w14:textId="4ED936DD" w:rsidTr="001C0059">
        <w:trPr>
          <w:trHeight w:val="300"/>
          <w:jc w:val="center"/>
        </w:trPr>
        <w:tc>
          <w:tcPr>
            <w:tcW w:w="2509" w:type="dxa"/>
            <w:shd w:val="clear" w:color="auto" w:fill="auto"/>
            <w:noWrap/>
            <w:vAlign w:val="center"/>
            <w:hideMark/>
          </w:tcPr>
          <w:p w14:paraId="19FA3E9D" w14:textId="77777777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7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739A105" w14:textId="52A13383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256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E1A8F87" w14:textId="0D421D1B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3000</w:t>
            </w:r>
          </w:p>
        </w:tc>
      </w:tr>
      <w:tr w:rsidR="00023BF8" w:rsidRPr="00023BF8" w14:paraId="44F11F22" w14:textId="5C0126AD" w:rsidTr="001C0059">
        <w:trPr>
          <w:trHeight w:val="300"/>
          <w:jc w:val="center"/>
        </w:trPr>
        <w:tc>
          <w:tcPr>
            <w:tcW w:w="2509" w:type="dxa"/>
            <w:shd w:val="clear" w:color="auto" w:fill="auto"/>
            <w:noWrap/>
            <w:vAlign w:val="center"/>
            <w:hideMark/>
          </w:tcPr>
          <w:p w14:paraId="0790CB7F" w14:textId="2B45DEA5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8</w:t>
            </w:r>
            <w:r w:rsidR="00942B07">
              <w:rPr>
                <w:color w:val="000000"/>
              </w:rPr>
              <w:t xml:space="preserve"> (</w:t>
            </w:r>
            <w:proofErr w:type="spellStart"/>
            <w:r w:rsidR="00942B07">
              <w:rPr>
                <w:color w:val="000000"/>
              </w:rPr>
              <w:t>ctgan</w:t>
            </w:r>
            <w:proofErr w:type="spellEnd"/>
            <w:r w:rsidR="00942B07">
              <w:rPr>
                <w:color w:val="000000"/>
              </w:rPr>
              <w:t>-best)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9FA676F" w14:textId="3C635998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500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335A5C5" w14:textId="4A70EC51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500</w:t>
            </w:r>
          </w:p>
        </w:tc>
      </w:tr>
      <w:tr w:rsidR="00023BF8" w:rsidRPr="00023BF8" w14:paraId="62595088" w14:textId="2C255820" w:rsidTr="001C0059">
        <w:trPr>
          <w:trHeight w:val="300"/>
          <w:jc w:val="center"/>
        </w:trPr>
        <w:tc>
          <w:tcPr>
            <w:tcW w:w="2509" w:type="dxa"/>
            <w:shd w:val="clear" w:color="auto" w:fill="auto"/>
            <w:noWrap/>
            <w:vAlign w:val="center"/>
            <w:hideMark/>
          </w:tcPr>
          <w:p w14:paraId="714440F4" w14:textId="77777777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9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709EC0D" w14:textId="6926BFEE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500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FB28A22" w14:textId="0E9E0BDE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1000</w:t>
            </w:r>
          </w:p>
        </w:tc>
      </w:tr>
      <w:tr w:rsidR="00023BF8" w:rsidRPr="00023BF8" w14:paraId="1CB37B1E" w14:textId="6F6A1144" w:rsidTr="001C0059">
        <w:trPr>
          <w:trHeight w:val="300"/>
          <w:jc w:val="center"/>
        </w:trPr>
        <w:tc>
          <w:tcPr>
            <w:tcW w:w="2509" w:type="dxa"/>
            <w:shd w:val="clear" w:color="auto" w:fill="auto"/>
            <w:noWrap/>
            <w:vAlign w:val="center"/>
            <w:hideMark/>
          </w:tcPr>
          <w:p w14:paraId="17735D9B" w14:textId="77777777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1439D4D" w14:textId="603A0788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500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3255284" w14:textId="2D3FDBFA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2000</w:t>
            </w:r>
          </w:p>
        </w:tc>
      </w:tr>
      <w:tr w:rsidR="00023BF8" w:rsidRPr="00023BF8" w14:paraId="2967C04A" w14:textId="59DB72AF" w:rsidTr="001C0059">
        <w:trPr>
          <w:trHeight w:val="300"/>
          <w:jc w:val="center"/>
        </w:trPr>
        <w:tc>
          <w:tcPr>
            <w:tcW w:w="2509" w:type="dxa"/>
            <w:shd w:val="clear" w:color="auto" w:fill="auto"/>
            <w:noWrap/>
            <w:vAlign w:val="center"/>
            <w:hideMark/>
          </w:tcPr>
          <w:p w14:paraId="2C86FA8D" w14:textId="77777777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E79D091" w14:textId="05E6CB0F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500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2CB9085" w14:textId="0208ABA3" w:rsidR="00023BF8" w:rsidRPr="00023BF8" w:rsidRDefault="00023BF8" w:rsidP="00023BF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023BF8">
              <w:rPr>
                <w:color w:val="000000"/>
              </w:rPr>
              <w:t>3000</w:t>
            </w:r>
          </w:p>
        </w:tc>
      </w:tr>
    </w:tbl>
    <w:p w14:paraId="4B888D57" w14:textId="77777777" w:rsidR="00023BF8" w:rsidRDefault="00023BF8" w:rsidP="00023BF8">
      <w:pPr>
        <w:ind w:firstLine="0"/>
      </w:pPr>
    </w:p>
    <w:p w14:paraId="478E0469" w14:textId="1B8513B4" w:rsidR="00023BF8" w:rsidRDefault="00EC01DD" w:rsidP="00EC01DD">
      <w:pPr>
        <w:pStyle w:val="Heading2"/>
      </w:pPr>
      <w:r>
        <w:t>Variable Correlation Tests</w:t>
      </w:r>
    </w:p>
    <w:p w14:paraId="6EE19B2C" w14:textId="1F6E4E58" w:rsidR="00977E8E" w:rsidRDefault="006C4EEF" w:rsidP="006C4EEF">
      <w:pPr>
        <w:sectPr w:rsidR="00977E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For each synthetic </w:t>
      </w:r>
      <w:proofErr w:type="gramStart"/>
      <w:r>
        <w:t>dataset</w:t>
      </w:r>
      <w:proofErr w:type="gramEnd"/>
      <w:r>
        <w:t xml:space="preserve">, we compared differences in the </w:t>
      </w:r>
      <w:r w:rsidRPr="006C4EEF">
        <w:t xml:space="preserve">correlation </w:t>
      </w:r>
      <w:r>
        <w:t xml:space="preserve">among the </w:t>
      </w:r>
      <w:r w:rsidRPr="006C4EEF">
        <w:t>variables</w:t>
      </w:r>
      <w:r>
        <w:t xml:space="preserve"> and the original data set. This is an</w:t>
      </w:r>
      <w:r w:rsidRPr="006C4EEF">
        <w:t xml:space="preserve"> important </w:t>
      </w:r>
      <w:r>
        <w:t xml:space="preserve">measure </w:t>
      </w:r>
      <w:r w:rsidRPr="006C4EEF">
        <w:t xml:space="preserve">for gauging the substitutability of </w:t>
      </w:r>
      <w:proofErr w:type="gramStart"/>
      <w:r w:rsidRPr="006C4EEF">
        <w:t>the synthetic</w:t>
      </w:r>
      <w:proofErr w:type="gramEnd"/>
      <w:r w:rsidRPr="006C4EEF">
        <w:t xml:space="preserve"> data. </w:t>
      </w:r>
      <w:r>
        <w:t xml:space="preserve">Each pane in the figure below depicts a histogram representing the differences </w:t>
      </w:r>
      <w:r w:rsidR="00660CD2">
        <w:t xml:space="preserve">between the synthetic data and the original data. These results suggest that </w:t>
      </w:r>
      <w:r>
        <w:t>many of the alternative synthetic data generation measures produced correlations that differed substantially</w:t>
      </w:r>
      <w:r w:rsidR="00977E8E">
        <w:t>.</w:t>
      </w:r>
      <w:r w:rsidR="00287BB3">
        <w:t xml:space="preserve"> The last two panels (depicting the best performing and worst performing </w:t>
      </w:r>
      <w:proofErr w:type="spellStart"/>
      <w:r w:rsidR="00287BB3">
        <w:t>ctgan</w:t>
      </w:r>
      <w:proofErr w:type="spellEnd"/>
      <w:r w:rsidR="00287BB3">
        <w:t xml:space="preserve"> models) help illustrate the range of differences that were observed. </w:t>
      </w:r>
    </w:p>
    <w:p w14:paraId="7F482E4B" w14:textId="77777777" w:rsidR="00977E8E" w:rsidRDefault="00977E8E" w:rsidP="00660CD2">
      <w:pPr>
        <w:ind w:firstLine="0"/>
        <w:sectPr w:rsidR="00977E8E" w:rsidSect="00977E8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66F24948" wp14:editId="66E19B9F">
            <wp:extent cx="8915400" cy="5943600"/>
            <wp:effectExtent l="0" t="0" r="0" b="0"/>
            <wp:docPr id="810530133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30133" name="Picture 2" descr="A screenshot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8598" w14:textId="7F9DF7F7" w:rsidR="00EC01DD" w:rsidRDefault="00EC01DD" w:rsidP="00EC01DD">
      <w:pPr>
        <w:pStyle w:val="Heading2"/>
      </w:pPr>
      <w:r>
        <w:t>Comparison of Exploratory Factor Analyses</w:t>
      </w:r>
    </w:p>
    <w:p w14:paraId="1C919097" w14:textId="77777777" w:rsidR="00412AB0" w:rsidRDefault="009874C9" w:rsidP="009874C9">
      <w:r>
        <w:t xml:space="preserve">We also explored differences in the model’s substitutability regarding the factor loadings. As noted in the manuscript, </w:t>
      </w:r>
      <w:r w:rsidR="00597269" w:rsidRPr="00597269">
        <w:t xml:space="preserve">we fit an exploratory factor analysis (EFA) </w:t>
      </w:r>
      <w:r w:rsidR="00412AB0" w:rsidRPr="00412AB0">
        <w:t>using minimum residuals and varimax rotations</w:t>
      </w:r>
      <w:r w:rsidR="00412AB0" w:rsidRPr="00412AB0">
        <w:t xml:space="preserve"> </w:t>
      </w:r>
      <w:r w:rsidR="00597269" w:rsidRPr="00597269">
        <w:t>that forced a two-factor solution onto the 11 leadership competencies for both self-ratings and superior’s ratings</w:t>
      </w:r>
      <w:r w:rsidR="00412AB0">
        <w:t>. We compared the differences in the factor loadings obtained in the original data with the alternative synthetic data models.</w:t>
      </w:r>
      <w:r w:rsidR="009D289B">
        <w:t xml:space="preserve"> We again observed markedly different levels of performance across the models, which are most pronounced when comparing the last two panes of the figures below (i.e., </w:t>
      </w:r>
      <w:proofErr w:type="spellStart"/>
      <w:r w:rsidR="009D289B">
        <w:t>ctgan</w:t>
      </w:r>
      <w:proofErr w:type="spellEnd"/>
      <w:r w:rsidR="009D289B">
        <w:t xml:space="preserve"> - best vs. </w:t>
      </w:r>
      <w:proofErr w:type="spellStart"/>
      <w:r w:rsidR="009D289B">
        <w:t>ctgan</w:t>
      </w:r>
      <w:proofErr w:type="spellEnd"/>
      <w:r w:rsidR="009D289B">
        <w:t xml:space="preserve"> – worst).</w:t>
      </w:r>
    </w:p>
    <w:p w14:paraId="0C687263" w14:textId="0B89D780" w:rsidR="009D289B" w:rsidRDefault="009D289B" w:rsidP="009D289B">
      <w:pPr>
        <w:pStyle w:val="Heading2"/>
      </w:pPr>
      <w:r>
        <w:t>Conclusion</w:t>
      </w:r>
    </w:p>
    <w:p w14:paraId="7C349905" w14:textId="058D273D" w:rsidR="00D26E96" w:rsidRPr="00D26E96" w:rsidRDefault="00903C75" w:rsidP="00D26E96">
      <w:r>
        <w:t xml:space="preserve">These tests highlight the need to carefully consider a range of potential models </w:t>
      </w:r>
      <w:r w:rsidR="00D26E96">
        <w:t xml:space="preserve">when first generating synthetic data. </w:t>
      </w:r>
      <w:r w:rsidR="009858A1">
        <w:t>Along with the model which we focused on in Study 2, w</w:t>
      </w:r>
      <w:r w:rsidR="00D26E96" w:rsidRPr="00D26E96">
        <w:t xml:space="preserve">e employed a range of hyperparameters (e.g., batch sizes that included 128, 256, and 500 and epochs including 500, 1,000, 2,000, and 3,000). </w:t>
      </w:r>
      <w:r w:rsidR="00390B65">
        <w:t xml:space="preserve">The findings in this online supplement depict how modifying two hyperparameters can produce dramatically different levels of performance given the data one is seeking to synthetize. Thus, </w:t>
      </w:r>
      <w:r w:rsidR="00390B65" w:rsidRPr="00D26E96">
        <w:t xml:space="preserve">developing a suitable synthetic data generation model </w:t>
      </w:r>
      <w:r w:rsidR="007D276B">
        <w:t xml:space="preserve">will likely represent </w:t>
      </w:r>
      <w:r w:rsidR="00390B65" w:rsidRPr="00D26E96">
        <w:t>an iterative</w:t>
      </w:r>
      <w:r w:rsidR="007D276B">
        <w:t>, rather than a simply linear,</w:t>
      </w:r>
      <w:r w:rsidR="00390B65" w:rsidRPr="00D26E96">
        <w:t xml:space="preserve"> process. </w:t>
      </w:r>
    </w:p>
    <w:p w14:paraId="08F51148" w14:textId="36214258" w:rsidR="009D289B" w:rsidRDefault="009D289B" w:rsidP="009874C9">
      <w:pPr>
        <w:sectPr w:rsidR="009D28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BDCEE5" w14:textId="5B3AB773" w:rsidR="00412AB0" w:rsidRPr="009874C9" w:rsidRDefault="00412AB0" w:rsidP="00412AB0">
      <w:pPr>
        <w:ind w:firstLine="0"/>
      </w:pPr>
      <w:r>
        <w:rPr>
          <w:noProof/>
        </w:rPr>
        <w:drawing>
          <wp:inline distT="0" distB="0" distL="0" distR="0" wp14:anchorId="769C9CC0" wp14:editId="37D6D413">
            <wp:extent cx="8229600" cy="5486400"/>
            <wp:effectExtent l="0" t="0" r="0" b="0"/>
            <wp:docPr id="272737122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37122" name="Picture 3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AB0" w:rsidRPr="009874C9" w:rsidSect="00412A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F8"/>
    <w:rsid w:val="0002048E"/>
    <w:rsid w:val="00023BF8"/>
    <w:rsid w:val="000575B0"/>
    <w:rsid w:val="001C0059"/>
    <w:rsid w:val="00287BB3"/>
    <w:rsid w:val="00390B65"/>
    <w:rsid w:val="00412AB0"/>
    <w:rsid w:val="00544795"/>
    <w:rsid w:val="00597269"/>
    <w:rsid w:val="00660CD2"/>
    <w:rsid w:val="006C4EEF"/>
    <w:rsid w:val="007455F7"/>
    <w:rsid w:val="00752FFF"/>
    <w:rsid w:val="007D276B"/>
    <w:rsid w:val="008C789F"/>
    <w:rsid w:val="00903C75"/>
    <w:rsid w:val="00942B07"/>
    <w:rsid w:val="00977E8E"/>
    <w:rsid w:val="009858A1"/>
    <w:rsid w:val="009874C9"/>
    <w:rsid w:val="009D289B"/>
    <w:rsid w:val="00A60CEE"/>
    <w:rsid w:val="00A76ACE"/>
    <w:rsid w:val="00D26E96"/>
    <w:rsid w:val="00EC01DD"/>
    <w:rsid w:val="00EE41D4"/>
    <w:rsid w:val="00F434BF"/>
    <w:rsid w:val="00FC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2A08"/>
  <w15:chartTrackingRefBased/>
  <w15:docId w15:val="{7D1A735E-700B-4A77-B88D-F62D5264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BF8"/>
  </w:style>
  <w:style w:type="paragraph" w:styleId="Heading1">
    <w:name w:val="heading 1"/>
    <w:basedOn w:val="Normal"/>
    <w:next w:val="Normal"/>
    <w:link w:val="Heading1Char"/>
    <w:uiPriority w:val="9"/>
    <w:qFormat/>
    <w:rsid w:val="00023BF8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BF8"/>
    <w:pPr>
      <w:keepNext/>
      <w:keepLines/>
      <w:ind w:firstLine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BF8"/>
    <w:pPr>
      <w:keepNext/>
      <w:keepLines/>
      <w:spacing w:before="28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BF8"/>
    <w:pPr>
      <w:keepNext/>
      <w:keepLines/>
      <w:spacing w:before="240" w:after="40"/>
      <w:outlineLvl w:val="3"/>
    </w:pPr>
    <w:rPr>
      <w:rFonts w:eastAsiaTheme="majorEastAsia" w:cstheme="majorBidi"/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BF8"/>
    <w:pPr>
      <w:keepNext/>
      <w:keepLines/>
      <w:spacing w:before="220" w:after="40"/>
      <w:outlineLvl w:val="4"/>
    </w:pPr>
    <w:rPr>
      <w:rFonts w:eastAsiaTheme="majorEastAsia" w:cstheme="majorBidi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BF8"/>
    <w:pPr>
      <w:keepNext/>
      <w:keepLines/>
      <w:spacing w:before="200" w:after="40"/>
      <w:outlineLvl w:val="5"/>
    </w:pPr>
    <w:rPr>
      <w:rFonts w:eastAsiaTheme="majorEastAsia" w:cstheme="majorBidi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BF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B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BF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BF8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3BF8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BF8"/>
    <w:rPr>
      <w:rFonts w:eastAsiaTheme="majorEastAsia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BF8"/>
    <w:rPr>
      <w:rFonts w:eastAsiaTheme="majorEastAsia" w:cstheme="majorBidi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BF8"/>
    <w:rPr>
      <w:rFonts w:eastAsiaTheme="majorEastAsia" w:cstheme="majorBidi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BF8"/>
    <w:rPr>
      <w:rFonts w:eastAsiaTheme="majorEastAsia" w:cstheme="majorBidi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BF8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B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B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023BF8"/>
    <w:pPr>
      <w:spacing w:line="240" w:lineRule="auto"/>
      <w:ind w:firstLine="0"/>
      <w:jc w:val="center"/>
    </w:pPr>
    <w:rPr>
      <w:rFonts w:eastAsiaTheme="majorEastAsia" w:cstheme="majorBidi"/>
      <w:b/>
    </w:rPr>
  </w:style>
  <w:style w:type="character" w:customStyle="1" w:styleId="TitleChar">
    <w:name w:val="Title Char"/>
    <w:basedOn w:val="DefaultParagraphFont"/>
    <w:link w:val="Title"/>
    <w:uiPriority w:val="10"/>
    <w:rsid w:val="00023BF8"/>
    <w:rPr>
      <w:rFonts w:eastAsiaTheme="majorEastAsia" w:cstheme="majorBidi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F8"/>
    <w:pPr>
      <w:spacing w:line="240" w:lineRule="auto"/>
      <w:ind w:firstLine="0"/>
      <w:jc w:val="center"/>
    </w:pPr>
    <w:rPr>
      <w:rFonts w:eastAsiaTheme="majorEastAsia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023BF8"/>
    <w:rPr>
      <w:rFonts w:eastAsiaTheme="majorEastAsia" w:cstheme="majorBidi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023BF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BF8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23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BF8"/>
    <w:rPr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BF8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BF8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023BF8"/>
    <w:rPr>
      <w:b/>
      <w:bCs/>
      <w:smallCaps/>
      <w:color w:val="156082" w:themeColor="accent1"/>
      <w:spacing w:val="5"/>
    </w:rPr>
  </w:style>
  <w:style w:type="paragraph" w:customStyle="1" w:styleId="Heading3Sub-Sub">
    <w:name w:val="Heading 3 (Sub-Sub)"/>
    <w:basedOn w:val="Normal"/>
    <w:link w:val="Heading3Sub-SubChar"/>
    <w:qFormat/>
    <w:rsid w:val="00023BF8"/>
    <w:rPr>
      <w:b/>
    </w:rPr>
  </w:style>
  <w:style w:type="character" w:customStyle="1" w:styleId="Heading3Sub-SubChar">
    <w:name w:val="Heading 3 (Sub-Sub) Char"/>
    <w:basedOn w:val="DefaultParagraphFont"/>
    <w:link w:val="Heading3Sub-Sub"/>
    <w:rsid w:val="00023BF8"/>
    <w:rPr>
      <w:b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3BF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23BF8"/>
    <w:rPr>
      <w:i/>
      <w:iCs/>
    </w:rPr>
  </w:style>
  <w:style w:type="paragraph" w:styleId="NoSpacing">
    <w:name w:val="No Spacing"/>
    <w:uiPriority w:val="1"/>
    <w:qFormat/>
    <w:rsid w:val="00023BF8"/>
    <w:pPr>
      <w:spacing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23BF8"/>
  </w:style>
  <w:style w:type="character" w:styleId="SubtleEmphasis">
    <w:name w:val="Subtle Emphasis"/>
    <w:basedOn w:val="DefaultParagraphFont"/>
    <w:uiPriority w:val="19"/>
    <w:qFormat/>
    <w:rsid w:val="00023B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28BFA6F02584428C4F1AF242888D53" ma:contentTypeVersion="13" ma:contentTypeDescription="Create a new document." ma:contentTypeScope="" ma:versionID="1b5e0cb263e0a3501a70df8230151e16">
  <xsd:schema xmlns:xsd="http://www.w3.org/2001/XMLSchema" xmlns:xs="http://www.w3.org/2001/XMLSchema" xmlns:p="http://schemas.microsoft.com/office/2006/metadata/properties" xmlns:ns2="5abb08ee-a004-433a-b7c9-ca63f0f3ccdb" xmlns:ns3="fe9e00a6-ff2d-4c68-bd62-a8dfcd4133d0" targetNamespace="http://schemas.microsoft.com/office/2006/metadata/properties" ma:root="true" ma:fieldsID="9966ed59cdb6debfcb1b1b7e2799beda" ns2:_="" ns3:_="">
    <xsd:import namespace="5abb08ee-a004-433a-b7c9-ca63f0f3ccdb"/>
    <xsd:import namespace="fe9e00a6-ff2d-4c68-bd62-a8dfcd4133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b08ee-a004-433a-b7c9-ca63f0f3c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5cd16d9-eec2-41b2-a06b-1c9884c789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e00a6-ff2d-4c68-bd62-a8dfcd4133d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16b9b94-699a-4900-934e-55d94ef15257}" ma:internalName="TaxCatchAll" ma:showField="CatchAllData" ma:web="fe9e00a6-ff2d-4c68-bd62-a8dfcd4133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9e00a6-ff2d-4c68-bd62-a8dfcd4133d0" xsi:nil="true"/>
    <lcf76f155ced4ddcb4097134ff3c332f xmlns="5abb08ee-a004-433a-b7c9-ca63f0f3cc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2CF427-F820-4D48-AF8C-A38DFC24B7FD}"/>
</file>

<file path=customXml/itemProps2.xml><?xml version="1.0" encoding="utf-8"?>
<ds:datastoreItem xmlns:ds="http://schemas.openxmlformats.org/officeDocument/2006/customXml" ds:itemID="{983DEF38-FF72-4DEB-9695-FADC75C9A8E0}"/>
</file>

<file path=customXml/itemProps3.xml><?xml version="1.0" encoding="utf-8"?>
<ds:datastoreItem xmlns:ds="http://schemas.openxmlformats.org/officeDocument/2006/customXml" ds:itemID="{0D97D3A0-42C8-427F-9486-CC16830B75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390</Words>
  <Characters>2226</Characters>
  <Application>Microsoft Office Word</Application>
  <DocSecurity>0</DocSecurity>
  <Lines>18</Lines>
  <Paragraphs>5</Paragraphs>
  <ScaleCrop>false</ScaleCrop>
  <Company>Center for Creative Leadership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Loignon, Andrew</dc:creator>
  <cp:keywords/>
  <dc:description/>
  <cp:lastModifiedBy>Loignon, Andrew</cp:lastModifiedBy>
  <cp:revision>23</cp:revision>
  <dcterms:created xsi:type="dcterms:W3CDTF">2024-07-30T12:59:00Z</dcterms:created>
  <dcterms:modified xsi:type="dcterms:W3CDTF">2024-07-30T13:22:00Z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0x0101009928BFA6F02584428C4F1AF242888D53</vt:lpwstr>
  </property>
</Properties>
</file>