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746E1" w14:textId="77777777" w:rsidR="001A68B3" w:rsidRDefault="00A46FF4">
      <w:pPr>
        <w:pStyle w:val="Title"/>
        <w:jc w:val="center"/>
      </w:pPr>
      <w:r>
        <w:t>Data as Inventory</w:t>
      </w:r>
    </w:p>
    <w:p w14:paraId="54871FCC" w14:textId="77777777" w:rsidR="001A68B3" w:rsidRDefault="00A46FF4">
      <w:pPr>
        <w:jc w:val="center"/>
      </w:pPr>
      <w:r>
        <w:t>A Conceptual Framework for AI Taxation</w:t>
      </w:r>
    </w:p>
    <w:p w14:paraId="5EDBAAD3" w14:textId="77777777" w:rsidR="001A68B3" w:rsidRDefault="00A46FF4">
      <w:pPr>
        <w:jc w:val="center"/>
      </w:pPr>
      <w:r>
        <w:t>A Provocation for Policymakers and Economists</w:t>
      </w:r>
    </w:p>
    <w:p w14:paraId="2C355910" w14:textId="77777777" w:rsidR="001A68B3" w:rsidRDefault="00A46FF4">
      <w:pPr>
        <w:spacing w:after="480"/>
        <w:jc w:val="center"/>
      </w:pPr>
      <w:r>
        <w:t>William Peterson  |  December 2025</w:t>
      </w:r>
    </w:p>
    <w:p w14:paraId="15A690AF" w14:textId="77777777" w:rsidR="001A68B3" w:rsidRDefault="00A46FF4">
      <w:pPr>
        <w:pStyle w:val="Heading1"/>
      </w:pPr>
      <w:r>
        <w:t>THE CORE ARGUMENT</w:t>
      </w:r>
    </w:p>
    <w:p w14:paraId="32094332" w14:textId="77777777" w:rsidR="001A68B3" w:rsidRDefault="00A46FF4">
      <w:pPr>
        <w:spacing w:after="240"/>
      </w:pPr>
      <w:r>
        <w:t xml:space="preserve">Current AI tax proposals focus on taxing activity (compute, transactions, robot hours). But the </w:t>
      </w:r>
      <w:r>
        <w:t>real source of durable competitive advantage is the stock—accumulated data that compounds over time.</w:t>
      </w:r>
    </w:p>
    <w:p w14:paraId="2863A2CB" w14:textId="77777777" w:rsidR="001A68B3" w:rsidRDefault="00A46FF4">
      <w:pPr>
        <w:spacing w:after="240"/>
      </w:pPr>
      <w:r>
        <w:rPr>
          <w:i/>
        </w:rPr>
        <w:t xml:space="preserve">The insight: </w:t>
      </w:r>
      <w:r>
        <w:t>Compute is like a factory running—anyone can rent it. Data is like inventory in a warehouse—it accumulates and creates lasting advantage. We tax physical inventory. Why not data inventory?</w:t>
      </w:r>
    </w:p>
    <w:p w14:paraId="1169001E" w14:textId="77777777" w:rsidR="001A68B3" w:rsidRDefault="00A46FF4">
      <w:pPr>
        <w:spacing w:after="240"/>
      </w:pPr>
      <w:r>
        <w:rPr>
          <w:i/>
        </w:rPr>
        <w:t xml:space="preserve">The purpose: </w:t>
      </w:r>
      <w:r>
        <w:t>This paper does not offer a legislative proposal. It asks economists and tax scholars to investigate whether treating retained AI-relevant data as taxable inventory could better align private incentives with public goals.</w:t>
      </w:r>
    </w:p>
    <w:p w14:paraId="0436457C" w14:textId="77777777" w:rsidR="001A68B3" w:rsidRDefault="00A46FF4">
      <w:pPr>
        <w:pStyle w:val="Heading1"/>
      </w:pPr>
      <w:r>
        <w:t>Why Now: The Policy Moment</w:t>
      </w:r>
    </w:p>
    <w:p w14:paraId="31145D92" w14:textId="77777777" w:rsidR="001A68B3" w:rsidRDefault="00A46FF4">
      <w:pPr>
        <w:spacing w:after="240"/>
      </w:pPr>
      <w:r>
        <w:t>AI policy is at an inflection point. The federal government is actively shaping the regulatory landscape:</w:t>
      </w:r>
    </w:p>
    <w:p w14:paraId="7556745D" w14:textId="77777777" w:rsidR="001A68B3" w:rsidRDefault="00A46FF4">
      <w:pPr>
        <w:pStyle w:val="ListBullet"/>
      </w:pPr>
      <w:r>
        <w:t>The December 2025 Executive Order on AI establishes a "minimally burdensome national policy framework" while pushing back on state-level regulation</w:t>
      </w:r>
    </w:p>
    <w:p w14:paraId="10BB1B2F" w14:textId="77777777" w:rsidR="001A68B3" w:rsidRDefault="00A46FF4">
      <w:pPr>
        <w:pStyle w:val="ListBullet"/>
      </w:pPr>
      <w:r>
        <w:t>Over 1,000 AI-related bills were introduced across U.S. states in 2025, creating a patchwork of approaches</w:t>
      </w:r>
    </w:p>
    <w:p w14:paraId="750E963D" w14:textId="77777777" w:rsidR="001A68B3" w:rsidRDefault="00A46FF4">
      <w:pPr>
        <w:pStyle w:val="ListBullet"/>
      </w:pPr>
      <w:r>
        <w:t>The OECD continues work on digital taxation through the Pillar One and Pillar Two frameworks, grappling with how to tax value created through data and digital presence</w:t>
      </w:r>
    </w:p>
    <w:p w14:paraId="4BA69CE4" w14:textId="77777777" w:rsidR="001A68B3" w:rsidRDefault="00A46FF4">
      <w:pPr>
        <w:pStyle w:val="ListBullet"/>
      </w:pPr>
      <w:r>
        <w:t>Antitrust scrutiny of major technology platforms has intensified, with market concentration a bipartisan concern</w:t>
      </w:r>
    </w:p>
    <w:p w14:paraId="51DDC50C" w14:textId="77777777" w:rsidR="001A68B3" w:rsidRDefault="00A46FF4">
      <w:pPr>
        <w:spacing w:after="240"/>
      </w:pPr>
      <w:r>
        <w:t>Yet the taxation debate remains stuck on familiar categories—robot taxes, compute levies, profit windfalls—none of which address the structural source of AI advantage: accumulated data. This paper offers a new lens at a moment when policymakers are actively seeking frameworks.</w:t>
      </w:r>
    </w:p>
    <w:p w14:paraId="43DD3E9E" w14:textId="77777777" w:rsidR="001A68B3" w:rsidRDefault="00A46FF4">
      <w:pPr>
        <w:pStyle w:val="Heading1"/>
      </w:pPr>
      <w:r>
        <w:lastRenderedPageBreak/>
        <w:t>The Problem: Taxing Activity When the Asset Is Stock</w:t>
      </w:r>
    </w:p>
    <w:p w14:paraId="19B80466" w14:textId="77777777" w:rsidR="001A68B3" w:rsidRDefault="00A46FF4">
      <w:pPr>
        <w:spacing w:after="240"/>
      </w:pPr>
      <w:r>
        <w:t>Most AI taxation proposals target flows:</w:t>
      </w:r>
    </w:p>
    <w:p w14:paraId="438D7E18" w14:textId="77777777" w:rsidR="001A68B3" w:rsidRDefault="00A46FF4">
      <w:pPr>
        <w:spacing w:after="240"/>
      </w:pPr>
      <w:r>
        <w:t>Robot taxes aim to address automation-driven labor substitution, but face severe attribution challenges and may discourage productivity-enhancing innovation.</w:t>
      </w:r>
    </w:p>
    <w:p w14:paraId="262B2BAC" w14:textId="77777777" w:rsidR="001A68B3" w:rsidRDefault="00A46FF4">
      <w:pPr>
        <w:spacing w:after="240"/>
      </w:pPr>
      <w:r>
        <w:t>Compute taxes target GPU hours or energy consumption, but compute is fungible—it can be rented or relocated—and such levies do little to address durable concentration.</w:t>
      </w:r>
    </w:p>
    <w:p w14:paraId="61372DDD" w14:textId="77777777" w:rsidR="001A68B3" w:rsidRDefault="00A46FF4">
      <w:pPr>
        <w:spacing w:after="240"/>
      </w:pPr>
      <w:r>
        <w:t>Profit and windfall taxes attempt to capture economic rents after the fact, but they require contentious valuation and remain vulnerable to accounting strategies.</w:t>
      </w:r>
    </w:p>
    <w:p w14:paraId="1CE762F6" w14:textId="77777777" w:rsidR="001A68B3" w:rsidRDefault="00A46FF4">
      <w:pPr>
        <w:spacing w:after="240"/>
      </w:pPr>
      <w:r>
        <w:t>None of these approaches targets the accumulation of data as a structural source of advantage. The moat isn't the model running—it's what the model learned and retained.</w:t>
      </w:r>
    </w:p>
    <w:p w14:paraId="73CC2B84" w14:textId="77777777" w:rsidR="001A68B3" w:rsidRDefault="00A46FF4">
      <w:pPr>
        <w:pStyle w:val="Heading1"/>
      </w:pPr>
      <w:r>
        <w:t>The Insight: Data Behaves Like Capital</w:t>
      </w:r>
    </w:p>
    <w:p w14:paraId="7AAE50F9" w14:textId="77777777" w:rsidR="001A68B3" w:rsidRDefault="00A46FF4">
      <w:pPr>
        <w:spacing w:after="240"/>
      </w:pPr>
      <w:r>
        <w:t>Unlike physical inventory, which depreciates, data often appreciates—strengthening the case for treating it as taxable capital rather than ignoring it entirely. It differs fundamentally from labor and compute: once collected, it can be reused across model generations, repurposed for new tasks, and combined with additional signals to increase marginal value.</w:t>
      </w:r>
    </w:p>
    <w:p w14:paraId="0C656190" w14:textId="77777777" w:rsidR="001A68B3" w:rsidRDefault="00A46FF4">
      <w:pPr>
        <w:spacing w:after="240"/>
      </w:pPr>
      <w:r>
        <w:t>Data is durable: unlike compute cycles consumed in processing, data persists. It is reusable: the same dataset can train multiple models across generations. It is accumulative: early data advantages compound over time. And it is path-dependent: data collected early shapes optimization targets and system behavior, reinforcing incumbency.</w:t>
      </w:r>
    </w:p>
    <w:p w14:paraId="285C8397" w14:textId="77777777" w:rsidR="001A68B3" w:rsidRDefault="00A46FF4">
      <w:pPr>
        <w:spacing w:after="240"/>
      </w:pPr>
      <w:r>
        <w:t>These characteristics cause retained data to behave economically like inventory or intangible capital. A growing body of research documents that intangible-intensive firms earn persistently higher returns, and that market concentration has increased where data and IT investments are highest.</w:t>
      </w:r>
    </w:p>
    <w:p w14:paraId="00310D21" w14:textId="77777777" w:rsidR="001A68B3" w:rsidRDefault="00A46FF4">
      <w:pPr>
        <w:spacing w:after="240"/>
      </w:pPr>
      <w:r>
        <w:t>The analogy is simple: We tax physical inventory sitting in a warehouse. Why not data inventory sitting on servers?</w:t>
      </w:r>
    </w:p>
    <w:p w14:paraId="74D15339" w14:textId="77777777" w:rsidR="001A68B3" w:rsidRDefault="00A46FF4">
      <w:pPr>
        <w:pStyle w:val="Heading1"/>
      </w:pPr>
      <w:r>
        <w:t>What a Data-Inventory Approach Might Include</w:t>
      </w:r>
    </w:p>
    <w:p w14:paraId="1D72A04E" w14:textId="77777777" w:rsidR="001A68B3" w:rsidRDefault="00A46FF4">
      <w:pPr>
        <w:spacing w:after="240"/>
      </w:pPr>
      <w:r>
        <w:t xml:space="preserve">This paper does not prescribe specific rates or mechanisms—those require expertise beyond this conceptual exercise. However, a </w:t>
      </w:r>
      <w:r>
        <w:t>data-inventory framework might include:</w:t>
      </w:r>
    </w:p>
    <w:p w14:paraId="517C9618" w14:textId="77777777" w:rsidR="001A68B3" w:rsidRDefault="00A46FF4">
      <w:pPr>
        <w:pStyle w:val="ListBullet"/>
      </w:pPr>
      <w:r>
        <w:rPr>
          <w:i/>
        </w:rPr>
        <w:t>Retention escalators</w:t>
      </w:r>
      <w:r>
        <w:t>: Longer retention creates higher liability, discouraging indefinite hoarding.</w:t>
      </w:r>
    </w:p>
    <w:p w14:paraId="3396F4AE" w14:textId="77777777" w:rsidR="001A68B3" w:rsidRDefault="00A46FF4">
      <w:pPr>
        <w:pStyle w:val="ListBullet"/>
      </w:pPr>
      <w:r>
        <w:rPr>
          <w:i/>
        </w:rPr>
        <w:lastRenderedPageBreak/>
        <w:t>Credits for deletion or release</w:t>
      </w:r>
      <w:r>
        <w:t>: Incentives for data minimization, anonymization, or public contribution</w:t>
      </w:r>
    </w:p>
    <w:p w14:paraId="41358882" w14:textId="77777777" w:rsidR="001A68B3" w:rsidRDefault="00A46FF4">
      <w:pPr>
        <w:pStyle w:val="ListBullet"/>
      </w:pPr>
      <w:r>
        <w:rPr>
          <w:i/>
        </w:rPr>
        <w:t>Volume-based assessment</w:t>
      </w:r>
      <w:r>
        <w:t>: Liability tied to quantity of retained AI-relevant data (e.g., terabyte-years)</w:t>
      </w:r>
    </w:p>
    <w:p w14:paraId="3DC2C023" w14:textId="77777777" w:rsidR="001A68B3" w:rsidRDefault="00A46FF4">
      <w:pPr>
        <w:pStyle w:val="ListBullet"/>
      </w:pPr>
      <w:r>
        <w:rPr>
          <w:i/>
        </w:rPr>
        <w:t>Functional tiering</w:t>
      </w:r>
      <w:r>
        <w:t>: Different treatment for training data, behavioral logs, embeddings, etc.</w:t>
      </w:r>
    </w:p>
    <w:p w14:paraId="7351E18B" w14:textId="77777777" w:rsidR="001A68B3" w:rsidRDefault="00A46FF4">
      <w:pPr>
        <w:pStyle w:val="ListBullet"/>
      </w:pPr>
      <w:r>
        <w:rPr>
          <w:i/>
        </w:rPr>
        <w:t>Exemptions</w:t>
      </w:r>
      <w:r>
        <w:t>: Protections for nonprofit research, small entities, accessibility technologies</w:t>
      </w:r>
    </w:p>
    <w:p w14:paraId="274681BE" w14:textId="77777777" w:rsidR="001A68B3" w:rsidRDefault="00A46FF4">
      <w:pPr>
        <w:spacing w:after="240"/>
      </w:pPr>
      <w:r>
        <w:t>The goal would not be revenue maximization but incentive alignment—making the social costs of data hoarding visible in private decision-making, while preserving innovation incentives.</w:t>
      </w:r>
    </w:p>
    <w:p w14:paraId="56EC0D65" w14:textId="77777777" w:rsidR="001A68B3" w:rsidRDefault="00A46FF4">
      <w:pPr>
        <w:pStyle w:val="Heading1"/>
      </w:pPr>
      <w:r>
        <w:t>Open Questions Requiring Further Expertise</w:t>
      </w:r>
    </w:p>
    <w:p w14:paraId="38CABE73" w14:textId="77777777" w:rsidR="001A68B3" w:rsidRDefault="00A46FF4">
      <w:pPr>
        <w:spacing w:after="240"/>
      </w:pPr>
      <w:r>
        <w:t>This conceptual framework raises questions that require deeper investigation:</w:t>
      </w:r>
    </w:p>
    <w:p w14:paraId="54F904B0" w14:textId="77777777" w:rsidR="001A68B3" w:rsidRDefault="00A46FF4">
      <w:pPr>
        <w:pStyle w:val="ListBullet"/>
      </w:pPr>
      <w:r>
        <w:rPr>
          <w:i/>
        </w:rPr>
        <w:t>Measurement</w:t>
      </w:r>
      <w:r>
        <w:t>: How would firms report data inventories? How would auditing work?</w:t>
      </w:r>
    </w:p>
    <w:p w14:paraId="7035B5A4" w14:textId="77777777" w:rsidR="001A68B3" w:rsidRDefault="00A46FF4">
      <w:pPr>
        <w:pStyle w:val="ListBullet"/>
      </w:pPr>
      <w:r>
        <w:rPr>
          <w:i/>
        </w:rPr>
        <w:t>Definition</w:t>
      </w:r>
      <w:r>
        <w:t>: What distinguishes "AI-relevant data" from ordinary business data? For purposes of this framework, AI-relevant data might include structured datasets used for model training, behavioral logs, embeddings, and synthetic outputs retained for future use.</w:t>
      </w:r>
    </w:p>
    <w:p w14:paraId="57864F62" w14:textId="77777777" w:rsidR="001A68B3" w:rsidRDefault="00A46FF4">
      <w:pPr>
        <w:pStyle w:val="ListBullet"/>
      </w:pPr>
      <w:r>
        <w:rPr>
          <w:i/>
        </w:rPr>
        <w:t>Jurisdiction</w:t>
      </w:r>
      <w:r>
        <w:t>: How would cross-border data storage be handled? Can destination-based principles apply?</w:t>
      </w:r>
    </w:p>
    <w:p w14:paraId="56A057B7" w14:textId="77777777" w:rsidR="001A68B3" w:rsidRDefault="00A46FF4">
      <w:pPr>
        <w:pStyle w:val="ListBullet"/>
      </w:pPr>
      <w:r>
        <w:rPr>
          <w:i/>
        </w:rPr>
        <w:t>Evasion</w:t>
      </w:r>
      <w:r>
        <w:t>: Could firms embed data into model weights to avoid inventory accounting?</w:t>
      </w:r>
    </w:p>
    <w:p w14:paraId="6051DDA5" w14:textId="77777777" w:rsidR="001A68B3" w:rsidRDefault="00A46FF4">
      <w:pPr>
        <w:pStyle w:val="ListBullet"/>
      </w:pPr>
      <w:r>
        <w:rPr>
          <w:i/>
        </w:rPr>
        <w:t>Innovation effects</w:t>
      </w:r>
      <w:r>
        <w:t>: Would this slow beneficial AI development, or level the playing field?</w:t>
      </w:r>
    </w:p>
    <w:p w14:paraId="3FB0FECC" w14:textId="77777777" w:rsidR="001A68B3" w:rsidRDefault="00A46FF4">
      <w:pPr>
        <w:pStyle w:val="ListBullet"/>
      </w:pPr>
      <w:r>
        <w:rPr>
          <w:i/>
        </w:rPr>
        <w:t>Empirical grounding</w:t>
      </w:r>
      <w:r>
        <w:t>: Can economists isolate data's specific contribution to excess returns?</w:t>
      </w:r>
    </w:p>
    <w:p w14:paraId="042BBB9E" w14:textId="77777777" w:rsidR="001A68B3" w:rsidRDefault="00A46FF4">
      <w:pPr>
        <w:pStyle w:val="ListBullet"/>
      </w:pPr>
      <w:r>
        <w:rPr>
          <w:i/>
        </w:rPr>
        <w:t>International coordination</w:t>
      </w:r>
      <w:r>
        <w:t>: How would this interact with OECD digital taxation frameworks?</w:t>
      </w:r>
    </w:p>
    <w:p w14:paraId="1CC95845" w14:textId="77777777" w:rsidR="001A68B3" w:rsidRDefault="00A46FF4">
      <w:pPr>
        <w:spacing w:after="240"/>
      </w:pPr>
      <w:r>
        <w:t>These are not objections—they are invitations for the economists, tax scholars, and technologists who have the expertise to develop answers.</w:t>
      </w:r>
    </w:p>
    <w:p w14:paraId="734C078F" w14:textId="77777777" w:rsidR="001A68B3" w:rsidRDefault="00A46FF4">
      <w:pPr>
        <w:pStyle w:val="Heading1"/>
      </w:pPr>
      <w:r>
        <w:t xml:space="preserve">Scope and </w:t>
      </w:r>
      <w:r>
        <w:t>Non-Goals</w:t>
      </w:r>
    </w:p>
    <w:p w14:paraId="46CAF781" w14:textId="77777777" w:rsidR="001A68B3" w:rsidRDefault="00A46FF4">
      <w:pPr>
        <w:spacing w:after="240"/>
      </w:pPr>
      <w:r>
        <w:t>This paper does not propose regulating AI models, limiting compute, capping profits, or restricting deployment. It does not address national security uses of AI or advocate changes to export controls.</w:t>
      </w:r>
    </w:p>
    <w:p w14:paraId="7385E1C2" w14:textId="77777777" w:rsidR="001A68B3" w:rsidRDefault="00A46FF4">
      <w:pPr>
        <w:spacing w:after="240"/>
      </w:pPr>
      <w:r>
        <w:t>The framework is intended to complement—not replace—existing antitrust, privacy, and competition policy tools. It offers a different lens: viewing data accumulation as an economic phenomenon with structural consequences that current tax frameworks do not address.</w:t>
      </w:r>
    </w:p>
    <w:p w14:paraId="7232BDC5" w14:textId="77777777" w:rsidR="001A68B3" w:rsidRDefault="00A46FF4">
      <w:pPr>
        <w:pStyle w:val="Heading1"/>
      </w:pPr>
      <w:r>
        <w:t>Conclusion</w:t>
      </w:r>
    </w:p>
    <w:p w14:paraId="1FA716CB" w14:textId="77777777" w:rsidR="001A68B3" w:rsidRDefault="00A46FF4">
      <w:pPr>
        <w:spacing w:after="240"/>
      </w:pPr>
      <w:r>
        <w:t>AI taxation debates have focused on visible outputs—compute, transactions, profits. Retained data is a less visible but more durable source of compounding advantage.</w:t>
      </w:r>
    </w:p>
    <w:p w14:paraId="682236B2" w14:textId="77777777" w:rsidR="001A68B3" w:rsidRDefault="00A46FF4">
      <w:pPr>
        <w:spacing w:after="240"/>
      </w:pPr>
      <w:r>
        <w:lastRenderedPageBreak/>
        <w:t>This paper's contribution is conceptual reframing: a provocation for policymakers and economists to investigate whether we have been looking at the wrong part of the AI value chain. If the answer is yes, a data-inventory approach—properly designed by those with the relevant expertise—could discourage hoarding, weaken entrenched dominance, improve privacy outcomes, and preserve incentives for innovation.</w:t>
      </w:r>
    </w:p>
    <w:p w14:paraId="03993969" w14:textId="77777777" w:rsidR="001A68B3" w:rsidRDefault="00A46FF4">
      <w:pPr>
        <w:spacing w:after="240"/>
      </w:pPr>
      <w:r>
        <w:t>The question is worth asking. The answer requires further work.</w:t>
      </w:r>
    </w:p>
    <w:p w14:paraId="283C3674" w14:textId="77777777" w:rsidR="001A68B3" w:rsidRDefault="00A46FF4">
      <w:pPr>
        <w:pStyle w:val="Heading1"/>
      </w:pPr>
      <w:r>
        <w:t>Selected References</w:t>
      </w:r>
    </w:p>
    <w:p w14:paraId="2901DAA8" w14:textId="77777777" w:rsidR="001A68B3" w:rsidRDefault="00A46FF4">
      <w:pPr>
        <w:spacing w:after="120"/>
      </w:pPr>
      <w:r>
        <w:t>Autor, D., Dorn, D., Katz, L., Patterson, C., &amp; Van Reenen, J. (2020). The Fall of the Labor Share and the Rise of Superstar Firms. Quarterly Journal of Economics, 135(2), 645–709.</w:t>
      </w:r>
    </w:p>
    <w:p w14:paraId="472E22B1" w14:textId="77777777" w:rsidR="001A68B3" w:rsidRDefault="00A46FF4">
      <w:pPr>
        <w:spacing w:after="120"/>
      </w:pPr>
      <w:r>
        <w:t>Bessen, J. (2017). Information Technology and Industry Concentration. Boston University School of Law, Law and Economics Research Paper No. 17-41.</w:t>
      </w:r>
    </w:p>
    <w:p w14:paraId="4FF5BAF7" w14:textId="77777777" w:rsidR="001A68B3" w:rsidRDefault="00A46FF4">
      <w:pPr>
        <w:spacing w:after="120"/>
      </w:pPr>
      <w:r>
        <w:t xml:space="preserve">De Loecker, J., Eeckhout, J., &amp; Unger, G. (2020). The Rise of </w:t>
      </w:r>
      <w:r>
        <w:t>Market Power and the Macroeconomic Implications. Quarterly Journal of Economics, 135(2), 561–644.</w:t>
      </w:r>
    </w:p>
    <w:p w14:paraId="21126754" w14:textId="77777777" w:rsidR="001A68B3" w:rsidRDefault="00A46FF4">
      <w:pPr>
        <w:spacing w:after="120"/>
      </w:pPr>
      <w:r>
        <w:t>Haskel, J. &amp; Westlake, S. (2017). Capitalism Without Capital: The Rise of the Intangible Economy. Princeton University Press.</w:t>
      </w:r>
    </w:p>
    <w:p w14:paraId="5A12D3EF" w14:textId="77777777" w:rsidR="001A68B3" w:rsidRDefault="00A46FF4">
      <w:pPr>
        <w:spacing w:after="120"/>
      </w:pPr>
      <w:r>
        <w:t>Philippon, T. (2019). The Great Reversal: How America Gave Up on Free Markets. Harvard University Press.</w:t>
      </w:r>
    </w:p>
    <w:p w14:paraId="1F597089" w14:textId="77777777" w:rsidR="001A68B3" w:rsidRDefault="00A46FF4">
      <w:pPr>
        <w:pStyle w:val="Heading1"/>
      </w:pPr>
      <w:r>
        <w:t>Author's Note</w:t>
      </w:r>
    </w:p>
    <w:p w14:paraId="453F0326" w14:textId="77777777" w:rsidR="001A68B3" w:rsidRDefault="00A46FF4">
      <w:pPr>
        <w:spacing w:after="240"/>
      </w:pPr>
      <w:r>
        <w:t>This paper was drafted with the assistance of AI-based language tools. The author is not a tax expert or AI specialist; the contribution here is conceptual rather than technical. All arguments and conclusions are those of the author.</w:t>
      </w:r>
    </w:p>
    <w:p w14:paraId="1D68984E" w14:textId="77777777" w:rsidR="001A68B3" w:rsidRDefault="00A46FF4">
      <w:pPr>
        <w:pStyle w:val="Heading1"/>
      </w:pPr>
      <w:r>
        <w:t>Contact</w:t>
      </w:r>
    </w:p>
    <w:p w14:paraId="50A7B776" w14:textId="77777777" w:rsidR="001A68B3" w:rsidRDefault="00A46FF4">
      <w:r>
        <w:t>William Peterson</w:t>
      </w:r>
    </w:p>
    <w:p w14:paraId="4D35FC83" w14:textId="24D44396" w:rsidR="001A68B3" w:rsidRDefault="00BA7F0F">
      <w:hyperlink r:id="rId6" w:history="1">
        <w:r w:rsidRPr="00054FAA">
          <w:rPr>
            <w:rStyle w:val="Hyperlink"/>
          </w:rPr>
          <w:t>Wpeterson.papers@proton.me</w:t>
        </w:r>
      </w:hyperlink>
      <w:r>
        <w:t xml:space="preserve"> </w:t>
      </w:r>
      <w:r w:rsidR="00A46FF4">
        <w:t xml:space="preserve">  </w:t>
      </w:r>
    </w:p>
    <w:sectPr w:rsidR="001A68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993503">
    <w:abstractNumId w:val="8"/>
  </w:num>
  <w:num w:numId="2" w16cid:durableId="158084530">
    <w:abstractNumId w:val="6"/>
  </w:num>
  <w:num w:numId="3" w16cid:durableId="938946191">
    <w:abstractNumId w:val="5"/>
  </w:num>
  <w:num w:numId="4" w16cid:durableId="1431506273">
    <w:abstractNumId w:val="4"/>
  </w:num>
  <w:num w:numId="5" w16cid:durableId="39136432">
    <w:abstractNumId w:val="7"/>
  </w:num>
  <w:num w:numId="6" w16cid:durableId="681473737">
    <w:abstractNumId w:val="3"/>
  </w:num>
  <w:num w:numId="7" w16cid:durableId="556286926">
    <w:abstractNumId w:val="2"/>
  </w:num>
  <w:num w:numId="8" w16cid:durableId="1317764208">
    <w:abstractNumId w:val="1"/>
  </w:num>
  <w:num w:numId="9" w16cid:durableId="431239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8B3"/>
    <w:rsid w:val="0024489C"/>
    <w:rsid w:val="0029639D"/>
    <w:rsid w:val="00326F90"/>
    <w:rsid w:val="00A46FF4"/>
    <w:rsid w:val="00AA1D8D"/>
    <w:rsid w:val="00B47730"/>
    <w:rsid w:val="00BA7F0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D48C027-50EF-45BD-B48C-FBB1EE63A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A7F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F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Wpeterson.papers@proton.m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1165</Words>
  <Characters>6645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Peterson</cp:lastModifiedBy>
  <cp:revision>2</cp:revision>
  <dcterms:created xsi:type="dcterms:W3CDTF">2026-01-01T00:44:00Z</dcterms:created>
  <dcterms:modified xsi:type="dcterms:W3CDTF">2026-01-01T00:44:00Z</dcterms:modified>
  <cp:category/>
</cp:coreProperties>
</file>