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8"/>
        </w:rPr>
        <w:t>Daycare Provider Assistant</w:t>
        <w:br/>
      </w:r>
      <w:r>
        <w:rPr>
          <w:rFonts w:ascii="Aptos" w:hAnsi="Aptos"/>
          <w:b/>
          <w:sz w:val="32"/>
        </w:rPr>
        <w:t>Business Plan and Launch Narrative</w:t>
        <w:br/>
      </w:r>
      <w:r>
        <w:rPr>
          <w:rFonts w:ascii="Aptos" w:hAnsi="Aptos"/>
          <w:sz w:val="22"/>
        </w:rPr>
        <w:t>Prepared April 20, 2026</w:t>
        <w:br/>
        <w:t>Target Launch: September 1, 2026</w:t>
      </w:r>
    </w:p>
    <w:p>
      <w:r>
        <w:br w:type="page"/>
      </w:r>
    </w:p>
    <w:p>
      <w:pPr>
        <w:pStyle w:val="Heading1"/>
      </w:pPr>
      <w:r>
        <w:t>Executive Summary</w:t>
      </w:r>
    </w:p>
    <w:p>
      <w:r>
        <w:t>Daycare Provider Assistant, or DPA, is a secure operational platform for licensed daycare providers. The product is being built first for Minnesota providers and is designed to replace the fragile mix of paper binders, spreadsheets, memory, and disconnected software that many providers still rely on for enrollment, attendance, ratios, guardian communication, documentation, and compliance.</w:t>
      </w:r>
    </w:p>
    <w:p>
      <w:r>
        <w:t>The business case is straightforward. Childcare operators run a high-trust, high-liability business in which a missed ratio, an inaccurate pickup authorization, a lost consent form, or a sloppy audit trail can create regulatory, legal, and human consequences. DPA treats those risks as a product-design problem, not as administrative clutter.</w:t>
      </w:r>
    </w:p>
    <w:p>
      <w:r>
        <w:t>The product strategy is equally clear. DPA will launch with a disciplined first-market focus, a security-first brand position, and a narrow operational promise: help licensed providers run a safer, more auditable, more predictable daycare business.</w:t>
      </w:r>
    </w:p>
    <w:p>
      <w:pPr>
        <w:pStyle w:val="Heading1"/>
      </w:pPr>
      <w:r>
        <w:t>Why This Product Is Being Built</w:t>
      </w:r>
    </w:p>
    <w:p>
      <w:r>
        <w:t>DPA is being built because daycare software too often makes one of two mistakes: it is either too thin to be trustworthy in real operations, or it is so bloated that small providers cannot use it without friction. The aim here is to build a system that respects the reality of childcare work. Providers are managing children, guardians, licensing expectations, pickup rules, schedules, immunization and consent paperwork, age brackets, site capacity, and daily stress. They do not need another brittle tool. They need a system that behaves like a competent operations partner.</w:t>
      </w:r>
    </w:p>
    <w:p>
      <w:r>
        <w:t>This product is also being built from a clear engineering conviction: trust must be designed into the system from the beginning. In childcare, security is not window dressing. It is part of the product itself.</w:t>
      </w:r>
    </w:p>
    <w:p>
      <w:pPr>
        <w:pStyle w:val="Heading1"/>
      </w:pPr>
      <w:r>
        <w:t>Guiding Philosophy of Security</w:t>
      </w:r>
    </w:p>
    <w:p>
      <w:r>
        <w:t>The security philosophy behind DPA is simple: sensitive systems should be designed as though they will one day be questioned by a regulator, an attorney, a parent, or a provider whose livelihood depends on the truth of the data. That standard changes how the platform is built.</w:t>
      </w:r>
    </w:p>
    <w:p>
      <w:pPr>
        <w:pStyle w:val="ListBullet"/>
        <w:ind w:left="0"/>
      </w:pPr>
      <w:r>
        <w:t>Security is treated as a product feature, not a late-stage compliance patch.</w:t>
      </w:r>
    </w:p>
    <w:p>
      <w:pPr>
        <w:pStyle w:val="ListBullet"/>
        <w:ind w:left="0"/>
      </w:pPr>
      <w:r>
        <w:t>Every user should have only the access they need, and every exceptional access path should be explicit and auditable.</w:t>
      </w:r>
    </w:p>
    <w:p>
      <w:pPr>
        <w:pStyle w:val="ListBullet"/>
        <w:ind w:left="0"/>
      </w:pPr>
      <w:r>
        <w:t>Data ownership matters. Only the provider who owns a child record should be able to modify that child through the normal application path.</w:t>
      </w:r>
    </w:p>
    <w:p>
      <w:pPr>
        <w:pStyle w:val="ListBullet"/>
        <w:ind w:left="0"/>
      </w:pPr>
      <w:r>
        <w:t>Administrative convenience never outranks data integrity.</w:t>
      </w:r>
    </w:p>
    <w:p>
      <w:pPr>
        <w:pStyle w:val="ListBullet"/>
        <w:ind w:left="0"/>
      </w:pPr>
      <w:r>
        <w:t>Soft delete and auditability are preferred over destructive operations.</w:t>
      </w:r>
    </w:p>
    <w:p>
      <w:pPr>
        <w:pStyle w:val="ListBullet"/>
        <w:ind w:left="0"/>
      </w:pPr>
      <w:r>
        <w:t>Images and other highly sensitive assets should be isolated architecturally, not merely labeled as sensitive.</w:t>
      </w:r>
    </w:p>
    <w:p>
      <w:pPr>
        <w:pStyle w:val="ListBullet"/>
        <w:ind w:left="0"/>
      </w:pPr>
      <w:r>
        <w:t>Temporary fixes are not treated as architecture. Migration discipline matters.</w:t>
      </w:r>
    </w:p>
    <w:p>
      <w:r>
        <w:t>This philosophy shows up in concrete design choices already made for the product.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Security Principle</w:t>
            </w:r>
          </w:p>
        </w:tc>
        <w:tc>
          <w:tcPr>
            <w:tcW w:type="dxa" w:w="4968"/>
            <w:shd w:fill="D9EAF7"/>
          </w:tcPr>
          <w:p>
            <w:r>
              <w:rPr>
                <w:b/>
              </w:rPr>
              <w:t>Implementation Direction in DPA</w:t>
            </w:r>
          </w:p>
        </w:tc>
      </w:tr>
      <w:tr>
        <w:tc>
          <w:tcPr>
            <w:tcW w:type="dxa" w:w="4968"/>
          </w:tcPr>
          <w:p>
            <w:r>
              <w:t>Least privilege</w:t>
            </w:r>
          </w:p>
        </w:tc>
        <w:tc>
          <w:tcPr>
            <w:tcW w:type="dxa" w:w="4968"/>
          </w:tcPr>
          <w:p>
            <w:r>
              <w:t>Provider, guardian, admin, and support access are separated by role and by operational purpose.</w:t>
            </w:r>
          </w:p>
        </w:tc>
      </w:tr>
      <w:tr>
        <w:tc>
          <w:tcPr>
            <w:tcW w:type="dxa" w:w="4968"/>
          </w:tcPr>
          <w:p>
            <w:r>
              <w:t>Audit-first operations</w:t>
            </w:r>
          </w:p>
        </w:tc>
        <w:tc>
          <w:tcPr>
            <w:tcW w:type="dxa" w:w="4968"/>
          </w:tcPr>
          <w:p>
            <w:r>
              <w:t>Database changes, support views, and exceptional access paths are designed to leave a meaningful trail.</w:t>
            </w:r>
          </w:p>
        </w:tc>
      </w:tr>
      <w:tr>
        <w:tc>
          <w:tcPr>
            <w:tcW w:type="dxa" w:w="4968"/>
          </w:tcPr>
          <w:p>
            <w:r>
              <w:t>Client-side protection for images</w:t>
            </w:r>
          </w:p>
        </w:tc>
        <w:tc>
          <w:tcPr>
            <w:tcW w:type="dxa" w:w="4968"/>
          </w:tcPr>
          <w:p>
            <w:r>
              <w:t>Encrypted image handling is designed so images remain encrypted at rest and on the wire, with client-side decryption goals driving the architecture.</w:t>
            </w:r>
          </w:p>
        </w:tc>
      </w:tr>
      <w:tr>
        <w:tc>
          <w:tcPr>
            <w:tcW w:type="dxa" w:w="4968"/>
          </w:tcPr>
          <w:p>
            <w:r>
              <w:t>Tenant separation</w:t>
            </w:r>
          </w:p>
        </w:tc>
        <w:tc>
          <w:tcPr>
            <w:tcW w:type="dxa" w:w="4968"/>
          </w:tcPr>
          <w:p>
            <w:r>
              <w:t>Each site gets its own image-key context so providers do not bleed into one another.</w:t>
            </w:r>
          </w:p>
        </w:tc>
      </w:tr>
      <w:tr>
        <w:tc>
          <w:tcPr>
            <w:tcW w:type="dxa" w:w="4968"/>
          </w:tcPr>
          <w:p>
            <w:r>
              <w:t>Non-destructive data change discipline</w:t>
            </w:r>
          </w:p>
        </w:tc>
        <w:tc>
          <w:tcPr>
            <w:tcW w:type="dxa" w:w="4968"/>
          </w:tcPr>
          <w:p>
            <w:r>
              <w:t>Stored procedures move toward CREATE OR ALTER and table evolution is being handled as data-aware migration work rather than drop-and-recreate churn.</w:t>
            </w:r>
          </w:p>
        </w:tc>
      </w:tr>
      <w:tr>
        <w:tc>
          <w:tcPr>
            <w:tcW w:type="dxa" w:w="4968"/>
          </w:tcPr>
          <w:p>
            <w:r>
              <w:t>Operational resilience</w:t>
            </w:r>
          </w:p>
        </w:tc>
        <w:tc>
          <w:tcPr>
            <w:tcW w:type="dxa" w:w="4968"/>
          </w:tcPr>
          <w:p>
            <w:r>
              <w:t>Folder provisioning and storage preparation are being automated so onboarding does not rely on manual filesystem work.</w:t>
            </w:r>
          </w:p>
        </w:tc>
      </w:tr>
    </w:tbl>
    <w:p>
      <w:pPr>
        <w:pStyle w:val="Heading1"/>
      </w:pPr>
      <w:r>
        <w:t>What DPA Will Do at Launch</w:t>
      </w:r>
    </w:p>
    <w:p>
      <w:r>
        <w:t>The launch version is intended to solve the daily operating core of a licensed daycare site.</w:t>
      </w:r>
    </w:p>
    <w:p>
      <w:pPr>
        <w:pStyle w:val="ListBullet"/>
        <w:ind w:left="0"/>
      </w:pPr>
      <w:r>
        <w:t>Manage provider-owned child records with guardian relationships and authorized pickup/dropoff contacts.</w:t>
      </w:r>
    </w:p>
    <w:p>
      <w:pPr>
        <w:pStyle w:val="ListBullet"/>
        <w:ind w:left="0"/>
      </w:pPr>
      <w:r>
        <w:t>Track children by licensing age groups and highlight when children age into the next bracket.</w:t>
      </w:r>
    </w:p>
    <w:p>
      <w:pPr>
        <w:pStyle w:val="ListBullet"/>
        <w:ind w:left="0"/>
      </w:pPr>
      <w:r>
        <w:t>Store and project current and future counts so providers can anticipate openings rather than guessing.</w:t>
      </w:r>
    </w:p>
    <w:p>
      <w:pPr>
        <w:pStyle w:val="ListBullet"/>
        <w:ind w:left="0"/>
      </w:pPr>
      <w:r>
        <w:t>Track care hours by child and by day using UTC-backed datetime storage.</w:t>
      </w:r>
    </w:p>
    <w:p>
      <w:pPr>
        <w:pStyle w:val="ListBullet"/>
        <w:ind w:left="0"/>
      </w:pPr>
      <w:r>
        <w:t>Support parent or guardian validation using token-based identity confirmation.</w:t>
      </w:r>
    </w:p>
    <w:p>
      <w:pPr>
        <w:pStyle w:val="ListBullet"/>
        <w:ind w:left="0"/>
      </w:pPr>
      <w:r>
        <w:t>Maintain auditability for changes to sensitive business records.</w:t>
      </w:r>
    </w:p>
    <w:p>
      <w:pPr>
        <w:pStyle w:val="ListBullet"/>
        <w:ind w:left="0"/>
      </w:pPr>
      <w:r>
        <w:t>Support secure image workflows for headshots, pickup contacts, and diary or scrapbook images.</w:t>
      </w:r>
    </w:p>
    <w:p>
      <w:pPr>
        <w:pStyle w:val="ListBullet"/>
        <w:ind w:left="0"/>
      </w:pPr>
      <w:r>
        <w:t>Provide an admin console for tightly controlled administrative functions without normal-edit access to provider-owned child data.</w:t>
      </w:r>
    </w:p>
    <w:p>
      <w:pPr>
        <w:pStyle w:val="Heading1"/>
      </w:pPr>
      <w:r>
        <w:t>Current Build Status</w:t>
      </w:r>
    </w:p>
    <w:p>
      <w:r>
        <w:t>DPA is not a concept-only effort. Substantial foundation work has already been completed or materially advanced.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Workstream</w:t>
            </w:r>
          </w:p>
        </w:tc>
        <w:tc>
          <w:tcPr>
            <w:tcW w:type="dxa" w:w="3312"/>
            <w:shd w:fill="D9EAF7"/>
          </w:tcPr>
          <w:p>
            <w:r>
              <w:rPr>
                <w:b/>
              </w:rPr>
              <w:t>Status</w:t>
            </w:r>
          </w:p>
        </w:tc>
        <w:tc>
          <w:tcPr>
            <w:tcW w:type="dxa" w:w="3312"/>
            <w:shd w:fill="D9EAF7"/>
          </w:tcPr>
          <w:p>
            <w:r>
              <w:rPr>
                <w:b/>
              </w:rPr>
              <w:t>What It Means</w:t>
            </w:r>
          </w:p>
        </w:tc>
      </w:tr>
      <w:tr>
        <w:tc>
          <w:tcPr>
            <w:tcW w:type="dxa" w:w="3312"/>
          </w:tcPr>
          <w:p>
            <w:r>
              <w:t>Core database foundation</w:t>
            </w:r>
          </w:p>
        </w:tc>
        <w:tc>
          <w:tcPr>
            <w:tcW w:type="dxa" w:w="3312"/>
          </w:tcPr>
          <w:p>
            <w:r>
              <w:t>Advanced</w:t>
            </w:r>
          </w:p>
        </w:tc>
        <w:tc>
          <w:tcPr>
            <w:tcW w:type="dxa" w:w="3312"/>
          </w:tcPr>
          <w:p>
            <w:r>
              <w:t>Core schemas, admin structures, child/provider/party foundations, and multiple provider portal objects are already in place.</w:t>
            </w:r>
          </w:p>
        </w:tc>
      </w:tr>
      <w:tr>
        <w:tc>
          <w:tcPr>
            <w:tcW w:type="dxa" w:w="3312"/>
          </w:tcPr>
          <w:p>
            <w:r>
              <w:t>Admin console</w:t>
            </w:r>
          </w:p>
        </w:tc>
        <w:tc>
          <w:tcPr>
            <w:tcW w:type="dxa" w:w="3312"/>
          </w:tcPr>
          <w:p>
            <w:r>
              <w:t>Operational foundation in place</w:t>
            </w:r>
          </w:p>
        </w:tc>
        <w:tc>
          <w:tcPr>
            <w:tcW w:type="dxa" w:w="3312"/>
          </w:tcPr>
          <w:p>
            <w:r>
              <w:t>Administrative pages and services exist and are being hardened.</w:t>
            </w:r>
          </w:p>
        </w:tc>
      </w:tr>
      <w:tr>
        <w:tc>
          <w:tcPr>
            <w:tcW w:type="dxa" w:w="3312"/>
          </w:tcPr>
          <w:p>
            <w:r>
              <w:t>Authentication and authorization</w:t>
            </w:r>
          </w:p>
        </w:tc>
        <w:tc>
          <w:tcPr>
            <w:tcW w:type="dxa" w:w="3312"/>
          </w:tcPr>
          <w:p>
            <w:r>
              <w:t>Materially advanced</w:t>
            </w:r>
          </w:p>
        </w:tc>
        <w:tc>
          <w:tcPr>
            <w:tcW w:type="dxa" w:w="3312"/>
          </w:tcPr>
          <w:p>
            <w:r>
              <w:t>Authentication plumbing, portal access control, and bootstrap/admin account setup have been under active implementation.</w:t>
            </w:r>
          </w:p>
        </w:tc>
      </w:tr>
      <w:tr>
        <w:tc>
          <w:tcPr>
            <w:tcW w:type="dxa" w:w="3312"/>
          </w:tcPr>
          <w:p>
            <w:r>
              <w:t>Provider portal</w:t>
            </w:r>
          </w:p>
        </w:tc>
        <w:tc>
          <w:tcPr>
            <w:tcW w:type="dxa" w:w="3312"/>
          </w:tcPr>
          <w:p>
            <w:r>
              <w:t>In active build</w:t>
            </w:r>
          </w:p>
        </w:tc>
        <w:tc>
          <w:tcPr>
            <w:tcW w:type="dxa" w:w="3312"/>
          </w:tcPr>
          <w:p>
            <w:r>
              <w:t>Family onboarding, child operations, and site-specific workflows are being wired through database-backed services.</w:t>
            </w:r>
          </w:p>
        </w:tc>
      </w:tr>
      <w:tr>
        <w:tc>
          <w:tcPr>
            <w:tcW w:type="dxa" w:w="3312"/>
          </w:tcPr>
          <w:p>
            <w:r>
              <w:t>Encrypted image subsystem</w:t>
            </w:r>
          </w:p>
        </w:tc>
        <w:tc>
          <w:tcPr>
            <w:tcW w:type="dxa" w:w="3312"/>
          </w:tcPr>
          <w:p>
            <w:r>
              <w:t>Working path established</w:t>
            </w:r>
          </w:p>
        </w:tc>
        <w:tc>
          <w:tcPr>
            <w:tcW w:type="dxa" w:w="3312"/>
          </w:tcPr>
          <w:p>
            <w:r>
              <w:t>Secure image storage, image schema separation, and folder provisioning now have a working technical path.</w:t>
            </w:r>
          </w:p>
        </w:tc>
      </w:tr>
      <w:tr>
        <w:tc>
          <w:tcPr>
            <w:tcW w:type="dxa" w:w="3312"/>
          </w:tcPr>
          <w:p>
            <w:r>
              <w:t>Migration discipline</w:t>
            </w:r>
          </w:p>
        </w:tc>
        <w:tc>
          <w:tcPr>
            <w:tcW w:type="dxa" w:w="3312"/>
          </w:tcPr>
          <w:p>
            <w:r>
              <w:t>Line in the sand established</w:t>
            </w:r>
          </w:p>
        </w:tc>
        <w:tc>
          <w:tcPr>
            <w:tcW w:type="dxa" w:w="3312"/>
          </w:tcPr>
          <w:p>
            <w:r>
              <w:t>Database change work is now moving under a data-aware migration rule set rather than destructive object churn.</w:t>
            </w:r>
          </w:p>
        </w:tc>
      </w:tr>
    </w:tbl>
    <w:p>
      <w:pPr>
        <w:pStyle w:val="Heading1"/>
      </w:pPr>
      <w:r>
        <w:t>Target Customer and Market Entry</w:t>
      </w:r>
    </w:p>
    <w:p>
      <w:r>
        <w:t>The initial target customer is the licensed daycare provider who needs operational control more than generic software decoration. Minnesota is the initial launch geography because a specific regulatory and business context creates a sharper first-market problem to solve.</w:t>
      </w:r>
    </w:p>
    <w:p>
      <w:pPr>
        <w:pStyle w:val="ListBullet"/>
        <w:ind w:left="0"/>
      </w:pPr>
      <w:r>
        <w:t>Primary customer: small to mid-sized licensed daycare providers operating one or more sites.</w:t>
      </w:r>
    </w:p>
    <w:p>
      <w:pPr>
        <w:pStyle w:val="ListBullet"/>
        <w:ind w:left="0"/>
      </w:pPr>
      <w:r>
        <w:t>Initial geography: Minnesota, which allows the product to be tuned against a defined licensing environment before broader expansion.</w:t>
      </w:r>
    </w:p>
    <w:p>
      <w:pPr>
        <w:pStyle w:val="ListBullet"/>
        <w:ind w:left="0"/>
      </w:pPr>
      <w:r>
        <w:t>Primary buyer: owner-operator or site operator responsible for compliance, staffing decisions, and family intake.</w:t>
      </w:r>
    </w:p>
    <w:p>
      <w:pPr>
        <w:pStyle w:val="ListBullet"/>
        <w:ind w:left="0"/>
      </w:pPr>
      <w:r>
        <w:t>Primary value trigger: better operational certainty, cleaner compliance posture, and lower administrative drag.</w:t>
      </w:r>
    </w:p>
    <w:p>
      <w:pPr>
        <w:pStyle w:val="Heading1"/>
      </w:pPr>
      <w:r>
        <w:t>Product Differentiation</w:t>
      </w:r>
    </w:p>
    <w:p>
      <w:r>
        <w:t>DPA should not try to win by claiming to do everything. It should win by being more trustworthy and more operationally grounded than the alternatives.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Differentiator</w:t>
            </w:r>
          </w:p>
        </w:tc>
        <w:tc>
          <w:tcPr>
            <w:tcW w:type="dxa" w:w="4968"/>
            <w:shd w:fill="D9EAF7"/>
          </w:tcPr>
          <w:p>
            <w:r>
              <w:rPr>
                <w:b/>
              </w:rPr>
              <w:t>Why It Matters</w:t>
            </w:r>
          </w:p>
        </w:tc>
      </w:tr>
      <w:tr>
        <w:tc>
          <w:tcPr>
            <w:tcW w:type="dxa" w:w="4968"/>
          </w:tcPr>
          <w:p>
            <w:r>
              <w:t>Security-first positioning</w:t>
            </w:r>
          </w:p>
        </w:tc>
        <w:tc>
          <w:tcPr>
            <w:tcW w:type="dxa" w:w="4968"/>
          </w:tcPr>
          <w:p>
            <w:r>
              <w:t>Parents, providers, and regulators care deeply about who can see or change sensitive records.</w:t>
            </w:r>
          </w:p>
        </w:tc>
      </w:tr>
      <w:tr>
        <w:tc>
          <w:tcPr>
            <w:tcW w:type="dxa" w:w="4968"/>
          </w:tcPr>
          <w:p>
            <w:r>
              <w:t>Auditability by design</w:t>
            </w:r>
          </w:p>
        </w:tc>
        <w:tc>
          <w:tcPr>
            <w:tcW w:type="dxa" w:w="4968"/>
          </w:tcPr>
          <w:p>
            <w:r>
              <w:t>The system is being built to answer who changed what, when, where, and why.</w:t>
            </w:r>
          </w:p>
        </w:tc>
      </w:tr>
      <w:tr>
        <w:tc>
          <w:tcPr>
            <w:tcW w:type="dxa" w:w="4968"/>
          </w:tcPr>
          <w:p>
            <w:r>
              <w:t>Operational forecasting</w:t>
            </w:r>
          </w:p>
        </w:tc>
        <w:tc>
          <w:tcPr>
            <w:tcW w:type="dxa" w:w="4968"/>
          </w:tcPr>
          <w:p>
            <w:r>
              <w:t>Providers need to know future openings and ratio implications, not just today's roster.</w:t>
            </w:r>
          </w:p>
        </w:tc>
      </w:tr>
      <w:tr>
        <w:tc>
          <w:tcPr>
            <w:tcW w:type="dxa" w:w="4968"/>
          </w:tcPr>
          <w:p>
            <w:r>
              <w:t>Provider-owned edit model</w:t>
            </w:r>
          </w:p>
        </w:tc>
        <w:tc>
          <w:tcPr>
            <w:tcW w:type="dxa" w:w="4968"/>
          </w:tcPr>
          <w:p>
            <w:r>
              <w:t>Child data should not become casually mutable by broad admin roles.</w:t>
            </w:r>
          </w:p>
        </w:tc>
      </w:tr>
      <w:tr>
        <w:tc>
          <w:tcPr>
            <w:tcW w:type="dxa" w:w="4968"/>
          </w:tcPr>
          <w:p>
            <w:r>
              <w:t>Dedicated image security domain</w:t>
            </w:r>
          </w:p>
        </w:tc>
        <w:tc>
          <w:tcPr>
            <w:tcW w:type="dxa" w:w="4968"/>
          </w:tcPr>
          <w:p>
            <w:r>
              <w:t>Treating image assets as their own guarded subsystem improves trust and reduces accidental sprawl.</w:t>
            </w:r>
          </w:p>
        </w:tc>
      </w:tr>
      <w:tr>
        <w:tc>
          <w:tcPr>
            <w:tcW w:type="dxa" w:w="4968"/>
          </w:tcPr>
          <w:p>
            <w:r>
              <w:t>Data-aware migration discipline</w:t>
            </w:r>
          </w:p>
        </w:tc>
        <w:tc>
          <w:tcPr>
            <w:tcW w:type="dxa" w:w="4968"/>
          </w:tcPr>
          <w:p>
            <w:r>
              <w:t>A stable platform is easier to operate, test, and defend than a system built around destructive change patterns.</w:t>
            </w:r>
          </w:p>
        </w:tc>
      </w:tr>
    </w:tbl>
    <w:p>
      <w:pPr>
        <w:pStyle w:val="Heading1"/>
      </w:pPr>
      <w:r>
        <w:t>Business Model Recommendation</w:t>
      </w:r>
    </w:p>
    <w:p>
      <w:r>
        <w:t>The recommended commercial model is a subscription SaaS offering priced per site, with pricing bands that remain understandable to small operators. The goal is predictable recurring revenue without forcing the product into nickel-and-dime behavior.</w:t>
      </w:r>
    </w:p>
    <w:p>
      <w:pPr>
        <w:pStyle w:val="ListBullet"/>
        <w:ind w:left="0"/>
      </w:pPr>
      <w:r>
        <w:t>Recommended core model: monthly or annual subscription per active site.</w:t>
      </w:r>
    </w:p>
    <w:p>
      <w:pPr>
        <w:pStyle w:val="ListBullet"/>
        <w:ind w:left="0"/>
      </w:pPr>
      <w:r>
        <w:t>Potential add-ons after launch: advanced reporting, premium document workflows, or enhanced media storage tiers.</w:t>
      </w:r>
    </w:p>
    <w:p>
      <w:pPr>
        <w:pStyle w:val="ListBullet"/>
        <w:ind w:left="0"/>
      </w:pPr>
      <w:r>
        <w:t>Pricing posture: simple, transparent, and defensible. The product should feel worth paying for because it reduces operational risk and saves time.</w:t>
      </w:r>
    </w:p>
    <w:p>
      <w:r>
        <w:t>Exact pricing should be finalized after pilot validation, not guessed into permanence before providers touch the system. That said, the business plan should assume recurring revenue rather than one-time licensing.</w:t>
      </w:r>
    </w:p>
    <w:p>
      <w:pPr>
        <w:pStyle w:val="Heading1"/>
      </w:pPr>
      <w:r>
        <w:t>Operations and Delivery Model</w:t>
      </w:r>
    </w:p>
    <w:p>
      <w:r>
        <w:t>The product should be run with a conservative operating model. In a childcare context, reliability and support discipline matter more than flashy deployment theater.</w:t>
      </w:r>
    </w:p>
    <w:p>
      <w:pPr>
        <w:pStyle w:val="ListBullet"/>
        <w:ind w:left="0"/>
      </w:pPr>
      <w:r>
        <w:t>Cloud-hosted application delivery with controlled release management.</w:t>
      </w:r>
    </w:p>
    <w:p>
      <w:pPr>
        <w:pStyle w:val="ListBullet"/>
        <w:ind w:left="0"/>
      </w:pPr>
      <w:r>
        <w:t>Environment separation for development, pre-production, and production.</w:t>
      </w:r>
    </w:p>
    <w:p>
      <w:pPr>
        <w:pStyle w:val="ListBullet"/>
        <w:ind w:left="0"/>
      </w:pPr>
      <w:r>
        <w:t>Measured onboarding of pilot providers before broader launch.</w:t>
      </w:r>
    </w:p>
    <w:p>
      <w:pPr>
        <w:pStyle w:val="ListBullet"/>
        <w:ind w:left="0"/>
      </w:pPr>
      <w:r>
        <w:t>Support procedures that preserve auditability and avoid direct data tampering through the application.</w:t>
      </w:r>
    </w:p>
    <w:p>
      <w:pPr>
        <w:pStyle w:val="ListBullet"/>
        <w:ind w:left="0"/>
      </w:pPr>
      <w:r>
        <w:t>Documentation and onboarding materials built in parallel with final product hardening.</w:t>
      </w:r>
    </w:p>
    <w:p>
      <w:pPr>
        <w:pStyle w:val="Heading1"/>
      </w:pPr>
      <w:r>
        <w:t>Launch Roadmap to September 1, 2026</w:t>
      </w:r>
    </w:p>
    <w:p>
      <w:r>
        <w:t>The launch timeline below assumes disciplined focus from April 20, 2026 through September 1, 2026. It does not assume perfection. It assumes a real release candidate, controlled validation, and deliberate hardening.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Window</w:t>
            </w:r>
          </w:p>
        </w:tc>
        <w:tc>
          <w:tcPr>
            <w:tcW w:type="dxa" w:w="2484"/>
            <w:shd w:fill="D9EAF7"/>
          </w:tcPr>
          <w:p>
            <w:r>
              <w:rPr>
                <w:b/>
              </w:rPr>
              <w:t>Priority</w:t>
            </w:r>
          </w:p>
        </w:tc>
        <w:tc>
          <w:tcPr>
            <w:tcW w:type="dxa" w:w="2484"/>
            <w:shd w:fill="D9EAF7"/>
          </w:tcPr>
          <w:p>
            <w:r>
              <w:rPr>
                <w:b/>
              </w:rPr>
              <w:t>Deliverables</w:t>
            </w:r>
          </w:p>
        </w:tc>
        <w:tc>
          <w:tcPr>
            <w:tcW w:type="dxa" w:w="2484"/>
            <w:shd w:fill="D9EAF7"/>
          </w:tcPr>
          <w:p>
            <w:r>
              <w:rPr>
                <w:b/>
              </w:rPr>
              <w:t>Exit Criteria</w:t>
            </w:r>
          </w:p>
        </w:tc>
      </w:tr>
      <w:tr>
        <w:tc>
          <w:tcPr>
            <w:tcW w:type="dxa" w:w="2484"/>
          </w:tcPr>
          <w:p>
            <w:r>
              <w:t>Apr 20 to May 15</w:t>
            </w:r>
          </w:p>
        </w:tc>
        <w:tc>
          <w:tcPr>
            <w:tcW w:type="dxa" w:w="2484"/>
          </w:tcPr>
          <w:p>
            <w:r>
              <w:t>Database and provider core</w:t>
            </w:r>
          </w:p>
        </w:tc>
        <w:tc>
          <w:tcPr>
            <w:tcW w:type="dxa" w:w="2484"/>
          </w:tcPr>
          <w:p>
            <w:r>
              <w:t>Finish missing database objects, stabilize provider onboarding, complete image schema migration, enforce data-aware migration discipline.</w:t>
            </w:r>
          </w:p>
        </w:tc>
        <w:tc>
          <w:tcPr>
            <w:tcW w:type="dxa" w:w="2484"/>
          </w:tcPr>
          <w:p>
            <w:r>
              <w:t>Installer runs cleanly, provider onboarding works end to end, photo subsystem functions at a basic operational level.</w:t>
            </w:r>
          </w:p>
        </w:tc>
      </w:tr>
      <w:tr>
        <w:tc>
          <w:tcPr>
            <w:tcW w:type="dxa" w:w="2484"/>
          </w:tcPr>
          <w:p>
            <w:r>
              <w:t>May 16 to Jun 15</w:t>
            </w:r>
          </w:p>
        </w:tc>
        <w:tc>
          <w:tcPr>
            <w:tcW w:type="dxa" w:w="2484"/>
          </w:tcPr>
          <w:p>
            <w:r>
              <w:t>Guardian and daily operations</w:t>
            </w:r>
          </w:p>
        </w:tc>
        <w:tc>
          <w:tcPr>
            <w:tcW w:type="dxa" w:w="2484"/>
          </w:tcPr>
          <w:p>
            <w:r>
              <w:t>Complete guardian-facing flows, attendance reliability, relationship management, and critical document or messaging paths.</w:t>
            </w:r>
          </w:p>
        </w:tc>
        <w:tc>
          <w:tcPr>
            <w:tcW w:type="dxa" w:w="2484"/>
          </w:tcPr>
          <w:p>
            <w:r>
              <w:t>Core provider and guardian journeys are testable without manual intervention.</w:t>
            </w:r>
          </w:p>
        </w:tc>
      </w:tr>
      <w:tr>
        <w:tc>
          <w:tcPr>
            <w:tcW w:type="dxa" w:w="2484"/>
          </w:tcPr>
          <w:p>
            <w:r>
              <w:t>Jun 16 to Jul 15</w:t>
            </w:r>
          </w:p>
        </w:tc>
        <w:tc>
          <w:tcPr>
            <w:tcW w:type="dxa" w:w="2484"/>
          </w:tcPr>
          <w:p>
            <w:r>
              <w:t>Hardening and compliance readiness</w:t>
            </w:r>
          </w:p>
        </w:tc>
        <w:tc>
          <w:tcPr>
            <w:tcW w:type="dxa" w:w="2484"/>
          </w:tcPr>
          <w:p>
            <w:r>
              <w:t>Role review, audit verification, support-mode restrictions, reporting cleanup, environment discipline, backup and restore drills.</w:t>
            </w:r>
          </w:p>
        </w:tc>
        <w:tc>
          <w:tcPr>
            <w:tcW w:type="dxa" w:w="2484"/>
          </w:tcPr>
          <w:p>
            <w:r>
              <w:t>Security and audit design choices are verified in practice, not just on paper.</w:t>
            </w:r>
          </w:p>
        </w:tc>
      </w:tr>
      <w:tr>
        <w:tc>
          <w:tcPr>
            <w:tcW w:type="dxa" w:w="2484"/>
          </w:tcPr>
          <w:p>
            <w:r>
              <w:t>Jul 16 to Aug 10</w:t>
            </w:r>
          </w:p>
        </w:tc>
        <w:tc>
          <w:tcPr>
            <w:tcW w:type="dxa" w:w="2484"/>
          </w:tcPr>
          <w:p>
            <w:r>
              <w:t>Pilot readiness</w:t>
            </w:r>
          </w:p>
        </w:tc>
        <w:tc>
          <w:tcPr>
            <w:tcW w:type="dxa" w:w="2484"/>
          </w:tcPr>
          <w:p>
            <w:r>
              <w:t>Pilot onboarding materials, bug triage, training workflow, pricing validation assumptions, support playbooks.</w:t>
            </w:r>
          </w:p>
        </w:tc>
        <w:tc>
          <w:tcPr>
            <w:tcW w:type="dxa" w:w="2484"/>
          </w:tcPr>
          <w:p>
            <w:r>
              <w:t>A limited pilot can run without engineering improvising every day.</w:t>
            </w:r>
          </w:p>
        </w:tc>
      </w:tr>
      <w:tr>
        <w:tc>
          <w:tcPr>
            <w:tcW w:type="dxa" w:w="2484"/>
          </w:tcPr>
          <w:p>
            <w:r>
              <w:t>Aug 11 to Aug 31</w:t>
            </w:r>
          </w:p>
        </w:tc>
        <w:tc>
          <w:tcPr>
            <w:tcW w:type="dxa" w:w="2484"/>
          </w:tcPr>
          <w:p>
            <w:r>
              <w:t>Release candidate</w:t>
            </w:r>
          </w:p>
        </w:tc>
        <w:tc>
          <w:tcPr>
            <w:tcW w:type="dxa" w:w="2484"/>
          </w:tcPr>
          <w:p>
            <w:r>
              <w:t>Pilot feedback fixes, launch checklist, hosting validation, deployment rehearsal, cutover package.</w:t>
            </w:r>
          </w:p>
        </w:tc>
        <w:tc>
          <w:tcPr>
            <w:tcW w:type="dxa" w:w="2484"/>
          </w:tcPr>
          <w:p>
            <w:r>
              <w:t>A stable release candidate is ready for launch.</w:t>
            </w:r>
          </w:p>
        </w:tc>
      </w:tr>
      <w:tr>
        <w:tc>
          <w:tcPr>
            <w:tcW w:type="dxa" w:w="2484"/>
          </w:tcPr>
          <w:p>
            <w:r>
              <w:t>Sep 1, 2026</w:t>
            </w:r>
          </w:p>
        </w:tc>
        <w:tc>
          <w:tcPr>
            <w:tcW w:type="dxa" w:w="2484"/>
          </w:tcPr>
          <w:p>
            <w:r>
              <w:t>Go live</w:t>
            </w:r>
          </w:p>
        </w:tc>
        <w:tc>
          <w:tcPr>
            <w:tcW w:type="dxa" w:w="2484"/>
          </w:tcPr>
          <w:p>
            <w:r>
              <w:t>Controlled production launch for first live providers.</w:t>
            </w:r>
          </w:p>
        </w:tc>
        <w:tc>
          <w:tcPr>
            <w:tcW w:type="dxa" w:w="2484"/>
          </w:tcPr>
          <w:p>
            <w:r>
              <w:t>Production service available with onboarding, core operations, and support readiness.</w:t>
            </w:r>
          </w:p>
        </w:tc>
      </w:tr>
    </w:tbl>
    <w:p>
      <w:pPr>
        <w:pStyle w:val="Heading1"/>
      </w:pPr>
      <w:r>
        <w:t>Major Risks and Mitigation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Risk</w:t>
            </w:r>
          </w:p>
        </w:tc>
        <w:tc>
          <w:tcPr>
            <w:tcW w:type="dxa" w:w="3312"/>
            <w:shd w:fill="D9EAF7"/>
          </w:tcPr>
          <w:p>
            <w:r>
              <w:rPr>
                <w:b/>
              </w:rPr>
              <w:t>Why It Matters</w:t>
            </w:r>
          </w:p>
        </w:tc>
        <w:tc>
          <w:tcPr>
            <w:tcW w:type="dxa" w:w="3312"/>
            <w:shd w:fill="D9EAF7"/>
          </w:tcPr>
          <w:p>
            <w:r>
              <w:rPr>
                <w:b/>
              </w:rPr>
              <w:t>Mitigation</w:t>
            </w:r>
          </w:p>
        </w:tc>
      </w:tr>
      <w:tr>
        <w:tc>
          <w:tcPr>
            <w:tcW w:type="dxa" w:w="3312"/>
          </w:tcPr>
          <w:p>
            <w:r>
              <w:t>Database object drift</w:t>
            </w:r>
          </w:p>
        </w:tc>
        <w:tc>
          <w:tcPr>
            <w:tcW w:type="dxa" w:w="3312"/>
          </w:tcPr>
          <w:p>
            <w:r>
              <w:t>Application code can outrun the install path.</w:t>
            </w:r>
          </w:p>
        </w:tc>
        <w:tc>
          <w:tcPr>
            <w:tcW w:type="dxa" w:w="3312"/>
          </w:tcPr>
          <w:p>
            <w:r>
              <w:t>Treat installer updates as part of the feature, not cleanup after the feature.</w:t>
            </w:r>
          </w:p>
        </w:tc>
      </w:tr>
      <w:tr>
        <w:tc>
          <w:tcPr>
            <w:tcW w:type="dxa" w:w="3312"/>
          </w:tcPr>
          <w:p>
            <w:r>
              <w:t>Scope creep before launch</w:t>
            </w:r>
          </w:p>
        </w:tc>
        <w:tc>
          <w:tcPr>
            <w:tcW w:type="dxa" w:w="3312"/>
          </w:tcPr>
          <w:p>
            <w:r>
              <w:t>Too many ideas can dilute the release.</w:t>
            </w:r>
          </w:p>
        </w:tc>
        <w:tc>
          <w:tcPr>
            <w:tcW w:type="dxa" w:w="3312"/>
          </w:tcPr>
          <w:p>
            <w:r>
              <w:t>Hold the line on launch-critical workflows first, expansions second.</w:t>
            </w:r>
          </w:p>
        </w:tc>
      </w:tr>
      <w:tr>
        <w:tc>
          <w:tcPr>
            <w:tcW w:type="dxa" w:w="3312"/>
          </w:tcPr>
          <w:p>
            <w:r>
              <w:t>Security shortcuts under time pressure</w:t>
            </w:r>
          </w:p>
        </w:tc>
        <w:tc>
          <w:tcPr>
            <w:tcW w:type="dxa" w:w="3312"/>
          </w:tcPr>
          <w:p>
            <w:r>
              <w:t>One rushed convenience can become permanent.</w:t>
            </w:r>
          </w:p>
        </w:tc>
        <w:tc>
          <w:tcPr>
            <w:tcW w:type="dxa" w:w="3312"/>
          </w:tcPr>
          <w:p>
            <w:r>
              <w:t>Keep the no-shortcut, data-aware migration standard in force.</w:t>
            </w:r>
          </w:p>
        </w:tc>
      </w:tr>
      <w:tr>
        <w:tc>
          <w:tcPr>
            <w:tcW w:type="dxa" w:w="3312"/>
          </w:tcPr>
          <w:p>
            <w:r>
              <w:t>Pilot friction</w:t>
            </w:r>
          </w:p>
        </w:tc>
        <w:tc>
          <w:tcPr>
            <w:tcW w:type="dxa" w:w="3312"/>
          </w:tcPr>
          <w:p>
            <w:r>
              <w:t>Real operators will reveal workflow pain quickly.</w:t>
            </w:r>
          </w:p>
        </w:tc>
        <w:tc>
          <w:tcPr>
            <w:tcW w:type="dxa" w:w="3312"/>
          </w:tcPr>
          <w:p>
            <w:r>
              <w:t>Use pilot feedback to sharpen onboarding and daily-use flows before broader roll-out.</w:t>
            </w:r>
          </w:p>
        </w:tc>
      </w:tr>
      <w:tr>
        <w:tc>
          <w:tcPr>
            <w:tcW w:type="dxa" w:w="3312"/>
          </w:tcPr>
          <w:p>
            <w:r>
              <w:t>Operational fragility</w:t>
            </w:r>
          </w:p>
        </w:tc>
        <w:tc>
          <w:tcPr>
            <w:tcW w:type="dxa" w:w="3312"/>
          </w:tcPr>
          <w:p>
            <w:r>
              <w:t>Support chaos can damage trust even if features exist.</w:t>
            </w:r>
          </w:p>
        </w:tc>
        <w:tc>
          <w:tcPr>
            <w:tcW w:type="dxa" w:w="3312"/>
          </w:tcPr>
          <w:p>
            <w:r>
              <w:t>Prepare support, backup, deployment, and incident procedures before launch.</w:t>
            </w:r>
          </w:p>
        </w:tc>
      </w:tr>
    </w:tbl>
    <w:p>
      <w:pPr>
        <w:pStyle w:val="Heading1"/>
      </w:pPr>
      <w:r>
        <w:t>Near-Term Priorities</w:t>
      </w:r>
    </w:p>
    <w:p>
      <w:pPr>
        <w:pStyle w:val="ListNumber"/>
      </w:pPr>
      <w:r>
        <w:t>Finish missing database objects under data-aware migration rules.</w:t>
      </w:r>
    </w:p>
    <w:p>
      <w:pPr>
        <w:pStyle w:val="ListNumber"/>
      </w:pPr>
      <w:r>
        <w:t>Eliminate remaining build and installer drift.</w:t>
      </w:r>
    </w:p>
    <w:p>
      <w:pPr>
        <w:pStyle w:val="ListNumber"/>
      </w:pPr>
      <w:r>
        <w:t>Complete provider onboarding and guardian-facing essential flows.</w:t>
      </w:r>
    </w:p>
    <w:p>
      <w:pPr>
        <w:pStyle w:val="ListNumber"/>
      </w:pPr>
      <w:r>
        <w:t>Stabilize the encrypted image subsystem and verify folder provisioning in live-like conditions.</w:t>
      </w:r>
    </w:p>
    <w:p>
      <w:pPr>
        <w:pStyle w:val="ListNumber"/>
      </w:pPr>
      <w:r>
        <w:t>Build launch-ready onboarding, training, and support materials.</w:t>
      </w:r>
    </w:p>
    <w:p>
      <w:pPr>
        <w:pStyle w:val="Heading1"/>
      </w:pPr>
      <w:r>
        <w:t>Conclusion</w:t>
      </w:r>
    </w:p>
    <w:p>
      <w:r>
        <w:t>DPA is being built to become trusted operations software for daycare providers, starting with Minnesota and expanding from a foundation of discipline rather than improvisation. The product’s strongest strategic advantage is not glitter. It is seriousness. In a market shaped by children, guardians, providers, and regulators, seriousness is a commercial asset.</w:t>
      </w:r>
    </w:p>
    <w:p>
      <w:r>
        <w:t>The launch goal of September 1, 2026 is achievable if the work remains focused on the operating core, the security posture remains uncompromised, and migration discipline continues to replace destructive quick fixes.</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Daycare Provider Assistant</w:t>
    </w:r>
    <w:r>
      <w:t xml:space="preserve"> | </w:t>
    </w:r>
    <w:fldSimple w:instr="PAGE">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DPA Business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