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24" w:type="dxa"/>
        <w:tblInd w:w="-572" w:type="dxa"/>
        <w:tblLook w:val="04A0" w:firstRow="1" w:lastRow="0" w:firstColumn="1" w:lastColumn="0" w:noHBand="0" w:noVBand="1"/>
      </w:tblPr>
      <w:tblGrid>
        <w:gridCol w:w="2673"/>
        <w:gridCol w:w="3093"/>
        <w:gridCol w:w="3926"/>
        <w:gridCol w:w="1932"/>
      </w:tblGrid>
      <w:tr w:rsidR="00BD5E90" w14:paraId="6801C109" w14:textId="77777777" w:rsidTr="009C0297">
        <w:tc>
          <w:tcPr>
            <w:tcW w:w="2673" w:type="dxa"/>
          </w:tcPr>
          <w:p w14:paraId="64F78327" w14:textId="77777777" w:rsidR="00A242FD" w:rsidRDefault="00A242FD" w:rsidP="00BD5E90">
            <w:r>
              <w:t xml:space="preserve">Product </w:t>
            </w:r>
          </w:p>
        </w:tc>
        <w:tc>
          <w:tcPr>
            <w:tcW w:w="3093" w:type="dxa"/>
          </w:tcPr>
          <w:p w14:paraId="066F6735" w14:textId="77777777" w:rsidR="00C1651F" w:rsidRDefault="00A242FD" w:rsidP="00A32298">
            <w:r>
              <w:t>Indication</w:t>
            </w:r>
          </w:p>
        </w:tc>
        <w:tc>
          <w:tcPr>
            <w:tcW w:w="3926" w:type="dxa"/>
          </w:tcPr>
          <w:p w14:paraId="7AD70F47" w14:textId="77777777" w:rsidR="00A242FD" w:rsidRDefault="00A242FD" w:rsidP="00BD5E90">
            <w:r>
              <w:t>Primary endpoint</w:t>
            </w:r>
          </w:p>
        </w:tc>
        <w:tc>
          <w:tcPr>
            <w:tcW w:w="1932" w:type="dxa"/>
          </w:tcPr>
          <w:p w14:paraId="27720B62" w14:textId="77777777" w:rsidR="00A242FD" w:rsidRDefault="00A242FD" w:rsidP="00BD5E90">
            <w:r>
              <w:t>Surrogate/</w:t>
            </w:r>
          </w:p>
          <w:p w14:paraId="5D2B7A5A" w14:textId="77777777" w:rsidR="00A242FD" w:rsidRDefault="00A242FD" w:rsidP="00BD5E90">
            <w:r>
              <w:t>Biomarker</w:t>
            </w:r>
          </w:p>
        </w:tc>
      </w:tr>
      <w:tr w:rsidR="00DE6FBA" w14:paraId="52BA7755" w14:textId="77777777" w:rsidTr="009C0297">
        <w:tc>
          <w:tcPr>
            <w:tcW w:w="2673" w:type="dxa"/>
          </w:tcPr>
          <w:p w14:paraId="26575727" w14:textId="77777777" w:rsidR="00DE6FBA" w:rsidRDefault="00DE6FBA" w:rsidP="00DE6FBA">
            <w:r>
              <w:rPr>
                <w:b/>
              </w:rPr>
              <w:t>remdesivir</w:t>
            </w:r>
          </w:p>
          <w:p w14:paraId="7FB747AF" w14:textId="77777777" w:rsidR="00DE6FBA" w:rsidRDefault="00DE6FBA" w:rsidP="00DE6FBA"/>
          <w:p w14:paraId="35460095" w14:textId="77777777" w:rsidR="00DE6FBA" w:rsidRDefault="00DE6FBA" w:rsidP="00DE6FBA">
            <w:r>
              <w:t>Veklury</w:t>
            </w:r>
          </w:p>
          <w:p w14:paraId="59911F48" w14:textId="77777777" w:rsidR="00DE6FBA" w:rsidRDefault="00DE6FBA" w:rsidP="00DE6FBA"/>
          <w:p w14:paraId="2F69EE1D" w14:textId="77777777" w:rsidR="00DE6FBA" w:rsidRDefault="00DE6FBA" w:rsidP="00DE6FBA">
            <w:r>
              <w:t>CMA 03/07/20</w:t>
            </w:r>
          </w:p>
          <w:p w14:paraId="0DE0AA07" w14:textId="77777777" w:rsidR="00DE6FBA" w:rsidRDefault="00DE6FBA" w:rsidP="00DE6FBA"/>
          <w:p w14:paraId="7EE779B3" w14:textId="77777777" w:rsidR="00DE6FBA" w:rsidRDefault="00DE6FBA" w:rsidP="00DE6FBA">
            <w:r>
              <w:t>EMA/357513/2020</w:t>
            </w:r>
          </w:p>
        </w:tc>
        <w:tc>
          <w:tcPr>
            <w:tcW w:w="3093" w:type="dxa"/>
          </w:tcPr>
          <w:p w14:paraId="1134B9D9" w14:textId="77777777" w:rsidR="00DE6FBA" w:rsidRDefault="00DE6FBA" w:rsidP="00DE6FBA">
            <w:r>
              <w:t>[T]reatment of coronavirus disease 2019 (COVID-19) in adults and in adolescents (aged 12 to less than 18 years and weighing at least 40 kg) with pneumonia requiring supplemental oxygen</w:t>
            </w:r>
          </w:p>
        </w:tc>
        <w:tc>
          <w:tcPr>
            <w:tcW w:w="3926" w:type="dxa"/>
          </w:tcPr>
          <w:p w14:paraId="2ECA6A03" w14:textId="77777777" w:rsidR="00DE6FBA" w:rsidRDefault="00DE6FBA" w:rsidP="00DE6FBA">
            <w:r>
              <w:t>CO-US-540-5776 Phase III Pivotal: The primary clinical endpoint was time to recovery within 29 days after randomisation, defined as either discharged from hospital (with or without limitations of activity and with or without home oxygen requirements) or hospitalised but not requiring supplemental oxygen and no longer requiring ongoing medical care.</w:t>
            </w:r>
          </w:p>
          <w:p w14:paraId="2651C710" w14:textId="77777777" w:rsidR="00DE6FBA" w:rsidRDefault="00DE6FBA" w:rsidP="00DE6FBA"/>
          <w:p w14:paraId="2A4E7FB7" w14:textId="77777777" w:rsidR="00DE6FBA" w:rsidRDefault="00DE6FBA" w:rsidP="00DE6FBA">
            <w:r>
              <w:t>GS-US-540-5773 Phase III Safety + Efficacy: The endpoint will be derived by combining the available death, hospital discharge alive and ordinal scale assessment reported by the site, where death supersedes discharge alive and discharge alive su</w:t>
            </w:r>
            <w:r w:rsidR="007F118E">
              <w:t>p</w:t>
            </w:r>
            <w:r>
              <w:t>persedes the ordinal scale score reported by the site.</w:t>
            </w:r>
          </w:p>
          <w:p w14:paraId="20864D39" w14:textId="77777777" w:rsidR="00DE6FBA" w:rsidRDefault="00DE6FBA" w:rsidP="00DE6FBA"/>
          <w:p w14:paraId="5B4D50F5" w14:textId="77777777" w:rsidR="00DE6FBA" w:rsidRDefault="00DE6FBA" w:rsidP="00DE6FBA">
            <w:r>
              <w:t xml:space="preserve">GS-US-540-5774 Phase III Safety + Efficacy: The primary efficacy endpoint is clinical status assessed by a 7-point ordinal scale on Day 11. </w:t>
            </w:r>
          </w:p>
        </w:tc>
        <w:tc>
          <w:tcPr>
            <w:tcW w:w="1932" w:type="dxa"/>
          </w:tcPr>
          <w:p w14:paraId="4027AB42" w14:textId="77777777" w:rsidR="00DE6FBA" w:rsidRDefault="00DE6FBA" w:rsidP="00DE6FBA">
            <w:r>
              <w:t>Yes:</w:t>
            </w:r>
          </w:p>
          <w:p w14:paraId="4CE1DE2A" w14:textId="77777777" w:rsidR="00DE6FBA" w:rsidRDefault="00DE6FBA" w:rsidP="00DE6FBA"/>
          <w:p w14:paraId="1014CD46" w14:textId="77777777" w:rsidR="00DE6FBA" w:rsidRDefault="00DE6FBA" w:rsidP="00DE6FBA">
            <w:r>
              <w:t>Time to recovery (pivotal)</w:t>
            </w:r>
          </w:p>
          <w:p w14:paraId="0913AC02" w14:textId="77777777" w:rsidR="00DE6FBA" w:rsidRDefault="00DE6FBA" w:rsidP="009803E8"/>
        </w:tc>
      </w:tr>
      <w:tr w:rsidR="00BD5E90" w14:paraId="46788CAC" w14:textId="77777777" w:rsidTr="009C0297">
        <w:tc>
          <w:tcPr>
            <w:tcW w:w="2673" w:type="dxa"/>
          </w:tcPr>
          <w:p w14:paraId="5680D0F8" w14:textId="77777777" w:rsidR="00C1651F" w:rsidRDefault="00C1651F" w:rsidP="00C1651F">
            <w:pPr>
              <w:rPr>
                <w:b/>
              </w:rPr>
            </w:pPr>
            <w:r>
              <w:rPr>
                <w:b/>
              </w:rPr>
              <w:t>certinib</w:t>
            </w:r>
          </w:p>
          <w:p w14:paraId="26DD92D0" w14:textId="77777777" w:rsidR="00C1651F" w:rsidRDefault="00C1651F" w:rsidP="00C1651F">
            <w:pPr>
              <w:rPr>
                <w:b/>
              </w:rPr>
            </w:pPr>
          </w:p>
          <w:p w14:paraId="1D55EB70" w14:textId="77777777" w:rsidR="00C1651F" w:rsidRDefault="00C1651F" w:rsidP="00C1651F">
            <w:r>
              <w:t>Zykadia</w:t>
            </w:r>
          </w:p>
          <w:p w14:paraId="0435F22C" w14:textId="77777777" w:rsidR="00C1651F" w:rsidRDefault="00C1651F" w:rsidP="00C1651F"/>
          <w:p w14:paraId="2498243B" w14:textId="77777777" w:rsidR="00C1651F" w:rsidRDefault="00C1651F" w:rsidP="00C1651F">
            <w:r>
              <w:t xml:space="preserve">CMA </w:t>
            </w:r>
            <w:r w:rsidR="0013269F">
              <w:t>06/05/15</w:t>
            </w:r>
          </w:p>
          <w:p w14:paraId="7BB29F48" w14:textId="77777777" w:rsidR="0013269F" w:rsidRDefault="0013269F" w:rsidP="00C1651F"/>
          <w:p w14:paraId="0E9581AC" w14:textId="77777777" w:rsidR="0013269F" w:rsidRDefault="0013269F" w:rsidP="0013269F">
            <w:r>
              <w:t>Full MA 26/07/17</w:t>
            </w:r>
          </w:p>
          <w:p w14:paraId="189C6859" w14:textId="77777777" w:rsidR="000B75B6" w:rsidRDefault="000B75B6" w:rsidP="0013269F"/>
          <w:p w14:paraId="435BCF09" w14:textId="77777777" w:rsidR="000B75B6" w:rsidRDefault="000B75B6" w:rsidP="0013269F">
            <w:r>
              <w:t>EMA/170114/2015</w:t>
            </w:r>
          </w:p>
          <w:p w14:paraId="342268A8" w14:textId="77777777" w:rsidR="000B75B6" w:rsidRPr="00A242FD" w:rsidRDefault="000B75B6" w:rsidP="0013269F"/>
          <w:p w14:paraId="2715CD73" w14:textId="77777777" w:rsidR="0013269F" w:rsidRPr="00C1651F" w:rsidRDefault="0013269F" w:rsidP="00C1651F"/>
        </w:tc>
        <w:tc>
          <w:tcPr>
            <w:tcW w:w="3093" w:type="dxa"/>
          </w:tcPr>
          <w:p w14:paraId="0A777525" w14:textId="77777777" w:rsidR="00C1651F" w:rsidRDefault="00A32298" w:rsidP="00C1651F">
            <w:r>
              <w:t>[T]reatment of adult patients with anaplastic lymphoma kinase (ALK) positive advanced non-small cell lung cancer (NSCLC) previously treated with crizotinib.</w:t>
            </w:r>
          </w:p>
        </w:tc>
        <w:tc>
          <w:tcPr>
            <w:tcW w:w="3926" w:type="dxa"/>
          </w:tcPr>
          <w:p w14:paraId="23D5C10B" w14:textId="77777777" w:rsidR="00C1651F" w:rsidRDefault="00A32298" w:rsidP="0013269F">
            <w:r>
              <w:t>X2101 Phase I</w:t>
            </w:r>
            <w:r w:rsidR="0013269F">
              <w:t xml:space="preserve"> Pivotal</w:t>
            </w:r>
            <w:r>
              <w:t>: Overall response rate (ORR, CR+PR) and duration of response (DOR) as assessed by the investigator per RECIST 1.0. These endpoints were also derived separ</w:t>
            </w:r>
            <w:r w:rsidR="0013269F">
              <w:t>ately based on BIRC assessment.</w:t>
            </w:r>
          </w:p>
          <w:p w14:paraId="5A5B8A1A" w14:textId="77777777" w:rsidR="0013269F" w:rsidRDefault="0013269F" w:rsidP="0013269F"/>
          <w:p w14:paraId="04CDEFC0" w14:textId="77777777" w:rsidR="0013269F" w:rsidRDefault="0013269F" w:rsidP="0013269F">
            <w:r>
              <w:t>X1101 Phase I Supportive: The efficacy endpoints used to evaluate the anti-tumour activity of LDK378 are ORR, DOR and PFS as assessed by the Investigator per RECIST 1.1.</w:t>
            </w:r>
          </w:p>
          <w:p w14:paraId="6B73463B" w14:textId="77777777" w:rsidR="0013269F" w:rsidRDefault="0013269F" w:rsidP="0013269F"/>
          <w:p w14:paraId="405A2917" w14:textId="77777777" w:rsidR="0013269F" w:rsidRDefault="0013269F" w:rsidP="0013269F">
            <w:r>
              <w:t>A2201 Phase II Supportive: The primary objective of the study was to demonstrate the anti-tumour activity of ceritinib, as measured by ORR by Investigator assessment.</w:t>
            </w:r>
          </w:p>
          <w:p w14:paraId="5DE7214F" w14:textId="77777777" w:rsidR="0013269F" w:rsidRDefault="0013269F" w:rsidP="0013269F"/>
          <w:p w14:paraId="06F5B842" w14:textId="77777777" w:rsidR="0013269F" w:rsidRDefault="0013269F" w:rsidP="0013269F">
            <w:r>
              <w:t>A2203 Phase II Supportive: The primary objective of the study was to demonstrate the anti-tumour activity of ceritinib, as measured by ORR by Investigator assessment.</w:t>
            </w:r>
          </w:p>
        </w:tc>
        <w:tc>
          <w:tcPr>
            <w:tcW w:w="1932" w:type="dxa"/>
          </w:tcPr>
          <w:p w14:paraId="1BAA6650" w14:textId="77777777" w:rsidR="00C1651F" w:rsidRDefault="0013269F" w:rsidP="00C1651F">
            <w:r>
              <w:t>Yes:</w:t>
            </w:r>
          </w:p>
          <w:p w14:paraId="7323D696" w14:textId="77777777" w:rsidR="0013269F" w:rsidRDefault="0013269F" w:rsidP="00C1651F"/>
          <w:p w14:paraId="40EC3C4B" w14:textId="77777777" w:rsidR="0013269F" w:rsidRDefault="0013269F" w:rsidP="00C1651F">
            <w:r>
              <w:t>Overall response rate (pivotal)</w:t>
            </w:r>
          </w:p>
          <w:p w14:paraId="41D1D034" w14:textId="77777777" w:rsidR="0013269F" w:rsidRDefault="0013269F" w:rsidP="00C1651F"/>
          <w:p w14:paraId="292D3542" w14:textId="77777777" w:rsidR="0013269F" w:rsidRDefault="0013269F" w:rsidP="00C1651F">
            <w:r>
              <w:t>Duration of response (pivotal)</w:t>
            </w:r>
          </w:p>
          <w:p w14:paraId="4660DAB3" w14:textId="77777777" w:rsidR="0013269F" w:rsidRDefault="0013269F" w:rsidP="00C1651F"/>
          <w:p w14:paraId="0CB2E7F0" w14:textId="77777777" w:rsidR="0013269F" w:rsidRDefault="0013269F" w:rsidP="00C1651F">
            <w:r>
              <w:t>Progression-free survival</w:t>
            </w:r>
          </w:p>
        </w:tc>
      </w:tr>
      <w:tr w:rsidR="00305BCD" w14:paraId="0108B9BE" w14:textId="77777777" w:rsidTr="009C0297">
        <w:tc>
          <w:tcPr>
            <w:tcW w:w="2673" w:type="dxa"/>
          </w:tcPr>
          <w:p w14:paraId="19B97BF4" w14:textId="77777777" w:rsidR="00305BCD" w:rsidRPr="00305BCD" w:rsidRDefault="00305BCD" w:rsidP="00305BCD">
            <w:pPr>
              <w:rPr>
                <w:rStyle w:val="Emphasis"/>
                <w:rFonts w:ascii="Verdana" w:hAnsi="Verdana"/>
                <w:color w:val="000000"/>
              </w:rPr>
            </w:pPr>
            <w:r w:rsidRPr="00305BCD">
              <w:rPr>
                <w:rStyle w:val="Emphasis"/>
                <w:rFonts w:cstheme="minorHAnsi"/>
                <w:b/>
                <w:i w:val="0"/>
                <w:color w:val="000000"/>
              </w:rPr>
              <w:t>COVID-19 mRNA vaccine (nucleoside-modified)</w:t>
            </w:r>
          </w:p>
          <w:p w14:paraId="7BD4EE78" w14:textId="77777777" w:rsidR="00305BCD" w:rsidRDefault="00305BCD" w:rsidP="00C1651F"/>
          <w:p w14:paraId="32CD5F97" w14:textId="77777777" w:rsidR="00305BCD" w:rsidRDefault="00305BCD" w:rsidP="00C1651F">
            <w:r>
              <w:t>Comirnaty</w:t>
            </w:r>
          </w:p>
          <w:p w14:paraId="0BD8F036" w14:textId="77777777" w:rsidR="00305BCD" w:rsidRDefault="00305BCD" w:rsidP="00C1651F"/>
          <w:p w14:paraId="1C83FE9E" w14:textId="77777777" w:rsidR="00305BCD" w:rsidRDefault="00305BCD" w:rsidP="00C1651F">
            <w:r>
              <w:t>CMA 21/12/20</w:t>
            </w:r>
          </w:p>
          <w:p w14:paraId="0ECBB351" w14:textId="77777777" w:rsidR="00305BCD" w:rsidRDefault="00305BCD" w:rsidP="00C1651F"/>
          <w:p w14:paraId="37AADB94" w14:textId="77777777" w:rsidR="00305BCD" w:rsidRPr="0013269F" w:rsidRDefault="00305BCD" w:rsidP="00C1651F">
            <w:r>
              <w:lastRenderedPageBreak/>
              <w:t>EMA/707383/2020 Corr.</w:t>
            </w:r>
          </w:p>
        </w:tc>
        <w:tc>
          <w:tcPr>
            <w:tcW w:w="3093" w:type="dxa"/>
          </w:tcPr>
          <w:p w14:paraId="30B69C9A" w14:textId="77777777" w:rsidR="00305BCD" w:rsidRDefault="00305BCD" w:rsidP="00C1651F">
            <w:r>
              <w:lastRenderedPageBreak/>
              <w:t>Comirnaty is intended for active immunisation against SARS-CoV-2, thereby preventing COVID-19.</w:t>
            </w:r>
          </w:p>
        </w:tc>
        <w:tc>
          <w:tcPr>
            <w:tcW w:w="3926" w:type="dxa"/>
          </w:tcPr>
          <w:p w14:paraId="68A27FA2" w14:textId="77777777" w:rsidR="00305BCD" w:rsidRDefault="00305BCD" w:rsidP="00C1651F">
            <w:r>
              <w:t xml:space="preserve">C4951001 Phase III Pivotal: First primary endpoint: COVID-19 incidence per 1000 person-years of follow-up in participants without serological or virological evidence of past SARS-CoV-2 infection before and during vaccination regimen – cases confirmed ≥7 days after Dose 2; </w:t>
            </w:r>
            <w:r>
              <w:lastRenderedPageBreak/>
              <w:t>Second primary endpoint: COVID-19 incidence per 1000 person-years of follow-up in participants with and without evidence of past SARS-CoV-2 infection before and during vaccination regimen – cases confirmed ≥7 days after Dose 2.</w:t>
            </w:r>
          </w:p>
        </w:tc>
        <w:tc>
          <w:tcPr>
            <w:tcW w:w="1932" w:type="dxa"/>
          </w:tcPr>
          <w:p w14:paraId="3D0752D4" w14:textId="77777777" w:rsidR="00305BCD" w:rsidRDefault="00305BCD" w:rsidP="00C1651F">
            <w:r>
              <w:lastRenderedPageBreak/>
              <w:t>Yes:</w:t>
            </w:r>
          </w:p>
          <w:p w14:paraId="5D0154D9" w14:textId="77777777" w:rsidR="00305BCD" w:rsidRDefault="00305BCD" w:rsidP="00C1651F"/>
          <w:p w14:paraId="1720EDC3" w14:textId="77777777" w:rsidR="00305BCD" w:rsidRDefault="00305BCD" w:rsidP="00C1651F">
            <w:r>
              <w:t>Incidence of COVID-19 cases from 7 days (pivotal)</w:t>
            </w:r>
          </w:p>
          <w:p w14:paraId="654E1F04" w14:textId="77777777" w:rsidR="00305BCD" w:rsidRDefault="00305BCD" w:rsidP="00C1651F"/>
        </w:tc>
      </w:tr>
      <w:tr w:rsidR="00305BCD" w14:paraId="7C480972" w14:textId="77777777" w:rsidTr="009C0297">
        <w:tc>
          <w:tcPr>
            <w:tcW w:w="2673" w:type="dxa"/>
          </w:tcPr>
          <w:p w14:paraId="46CA66F8" w14:textId="77777777" w:rsidR="00305BCD" w:rsidRDefault="00305BCD" w:rsidP="00F01547">
            <w:pPr>
              <w:rPr>
                <w:rStyle w:val="Emphasis"/>
                <w:rFonts w:ascii="Verdana" w:hAnsi="Verdana"/>
                <w:color w:val="000000"/>
              </w:rPr>
            </w:pPr>
            <w:r w:rsidRPr="000B75B6">
              <w:rPr>
                <w:rStyle w:val="Emphasis"/>
                <w:rFonts w:cstheme="minorHAnsi"/>
                <w:b/>
                <w:i w:val="0"/>
                <w:color w:val="000000"/>
              </w:rPr>
              <w:t>COVID-19 m</w:t>
            </w:r>
            <w:r>
              <w:rPr>
                <w:rStyle w:val="Emphasis"/>
                <w:rFonts w:cstheme="minorHAnsi"/>
                <w:b/>
                <w:i w:val="0"/>
                <w:color w:val="000000"/>
              </w:rPr>
              <w:t>RNA vaccine (nucleoside-modified)</w:t>
            </w:r>
          </w:p>
          <w:p w14:paraId="5DDD13BB" w14:textId="77777777" w:rsidR="00305BCD" w:rsidRDefault="00305BCD" w:rsidP="00F01547"/>
          <w:p w14:paraId="054AD7DC" w14:textId="77777777" w:rsidR="00305BCD" w:rsidRDefault="00305BCD" w:rsidP="00F01547">
            <w:r>
              <w:t>Spikevax</w:t>
            </w:r>
          </w:p>
          <w:p w14:paraId="2347CE1E" w14:textId="77777777" w:rsidR="00305BCD" w:rsidRDefault="00305BCD" w:rsidP="00F01547"/>
          <w:p w14:paraId="14BB1B69" w14:textId="77777777" w:rsidR="00305BCD" w:rsidRDefault="00305BCD" w:rsidP="00F01547">
            <w:r>
              <w:t>CMA 06/01/21</w:t>
            </w:r>
          </w:p>
          <w:p w14:paraId="69173BB2" w14:textId="77777777" w:rsidR="00305BCD" w:rsidRDefault="00305BCD" w:rsidP="00F01547"/>
          <w:p w14:paraId="3B5A107A" w14:textId="77777777" w:rsidR="00305BCD" w:rsidRPr="000B75B6" w:rsidRDefault="00305BCD" w:rsidP="00C1651F">
            <w:r>
              <w:t>EMA/15689/2021 Corr.</w:t>
            </w:r>
          </w:p>
        </w:tc>
        <w:tc>
          <w:tcPr>
            <w:tcW w:w="3093" w:type="dxa"/>
          </w:tcPr>
          <w:p w14:paraId="0936F8FB" w14:textId="77777777" w:rsidR="00305BCD" w:rsidRDefault="00305BCD" w:rsidP="00C1651F">
            <w:r>
              <w:t>The claimed indication of COVID-19 Vaccine Moderna is the prevention of COVID-19 in adults.</w:t>
            </w:r>
          </w:p>
        </w:tc>
        <w:tc>
          <w:tcPr>
            <w:tcW w:w="3926" w:type="dxa"/>
          </w:tcPr>
          <w:p w14:paraId="1CFA74CD" w14:textId="77777777" w:rsidR="00305BCD" w:rsidRDefault="00305BCD" w:rsidP="00C1651F">
            <w:r>
              <w:t>P301 Phase III Pivotal: Vaccine efficacy (VE) of mRNA1273 to prevent the first occurrence of COVID-19 in baseline seronegative participants (to prevent confirmed COVID19 starting 14 days after Dose 2)</w:t>
            </w:r>
          </w:p>
        </w:tc>
        <w:tc>
          <w:tcPr>
            <w:tcW w:w="1932" w:type="dxa"/>
          </w:tcPr>
          <w:p w14:paraId="4F5F981D" w14:textId="77777777" w:rsidR="00305BCD" w:rsidRDefault="00305BCD" w:rsidP="00F01547">
            <w:r>
              <w:t>Yes:</w:t>
            </w:r>
          </w:p>
          <w:p w14:paraId="215B80DB" w14:textId="77777777" w:rsidR="00305BCD" w:rsidRDefault="00305BCD" w:rsidP="00F01547"/>
          <w:p w14:paraId="4E6B0FC0" w14:textId="77777777" w:rsidR="00305BCD" w:rsidRDefault="00305BCD" w:rsidP="00C1651F">
            <w:r>
              <w:t>Incidence of COVID-19 cases from 14 days (pivotal)</w:t>
            </w:r>
          </w:p>
        </w:tc>
      </w:tr>
      <w:tr w:rsidR="00305BCD" w14:paraId="44167717" w14:textId="77777777" w:rsidTr="009C0297">
        <w:tc>
          <w:tcPr>
            <w:tcW w:w="2673" w:type="dxa"/>
          </w:tcPr>
          <w:p w14:paraId="729F4C4D" w14:textId="77777777" w:rsidR="00305BCD" w:rsidRDefault="00305BCD" w:rsidP="00C1651F">
            <w:pPr>
              <w:rPr>
                <w:rStyle w:val="Emphasis"/>
                <w:rFonts w:cstheme="minorHAnsi"/>
                <w:b/>
                <w:i w:val="0"/>
                <w:color w:val="000000"/>
              </w:rPr>
            </w:pPr>
            <w:r w:rsidRPr="00F01547">
              <w:rPr>
                <w:rStyle w:val="Emphasis"/>
                <w:rFonts w:cstheme="minorHAnsi"/>
                <w:b/>
                <w:i w:val="0"/>
                <w:color w:val="000000"/>
              </w:rPr>
              <w:t>COVID-19 vaccine (Ad26.COV2-S [recombinant])</w:t>
            </w:r>
          </w:p>
          <w:p w14:paraId="643F29C5" w14:textId="77777777" w:rsidR="00305BCD" w:rsidRDefault="00305BCD" w:rsidP="00C1651F">
            <w:pPr>
              <w:rPr>
                <w:rStyle w:val="Emphasis"/>
                <w:rFonts w:cstheme="minorHAnsi"/>
                <w:b/>
                <w:i w:val="0"/>
                <w:color w:val="000000"/>
              </w:rPr>
            </w:pPr>
          </w:p>
          <w:p w14:paraId="663257E3" w14:textId="77777777" w:rsidR="00305BCD" w:rsidRDefault="00305BCD" w:rsidP="00C1651F">
            <w:pPr>
              <w:rPr>
                <w:rStyle w:val="Emphasis"/>
                <w:i w:val="0"/>
                <w:color w:val="000000"/>
              </w:rPr>
            </w:pPr>
            <w:r>
              <w:rPr>
                <w:rStyle w:val="Emphasis"/>
                <w:i w:val="0"/>
                <w:color w:val="000000"/>
              </w:rPr>
              <w:t>COVID-19 Vaccine Janssen</w:t>
            </w:r>
          </w:p>
          <w:p w14:paraId="346279D4" w14:textId="77777777" w:rsidR="00305BCD" w:rsidRDefault="00305BCD" w:rsidP="00C1651F">
            <w:pPr>
              <w:rPr>
                <w:rStyle w:val="Emphasis"/>
                <w:i w:val="0"/>
                <w:color w:val="000000"/>
              </w:rPr>
            </w:pPr>
          </w:p>
          <w:p w14:paraId="40E8961A" w14:textId="77777777" w:rsidR="00305BCD" w:rsidRDefault="00305BCD" w:rsidP="00C1651F">
            <w:pPr>
              <w:rPr>
                <w:rStyle w:val="Emphasis"/>
                <w:i w:val="0"/>
                <w:color w:val="000000"/>
              </w:rPr>
            </w:pPr>
            <w:r>
              <w:rPr>
                <w:rStyle w:val="Emphasis"/>
                <w:i w:val="0"/>
                <w:color w:val="000000"/>
              </w:rPr>
              <w:t>CMA 11/03/21</w:t>
            </w:r>
          </w:p>
          <w:p w14:paraId="35D3465A" w14:textId="77777777" w:rsidR="00305BCD" w:rsidRDefault="00305BCD" w:rsidP="00C1651F">
            <w:pPr>
              <w:rPr>
                <w:rStyle w:val="Emphasis"/>
                <w:i w:val="0"/>
                <w:color w:val="000000"/>
              </w:rPr>
            </w:pPr>
          </w:p>
          <w:p w14:paraId="053EBB8C" w14:textId="77777777" w:rsidR="00305BCD" w:rsidRPr="000B75B6" w:rsidRDefault="00305BCD" w:rsidP="00F01547">
            <w:r>
              <w:t>EMA/158424/2021</w:t>
            </w:r>
          </w:p>
        </w:tc>
        <w:tc>
          <w:tcPr>
            <w:tcW w:w="3093" w:type="dxa"/>
          </w:tcPr>
          <w:p w14:paraId="52AD9CF6" w14:textId="77777777" w:rsidR="00305BCD" w:rsidRDefault="00305BCD" w:rsidP="00F01547">
            <w:r>
              <w:t>The claimed indication for COVID-19 Vaccine Janssen is active immunisation for the prevention of coronavirus disease-2019 (COVID-19) in adults greater than or equal to 18 years of age</w:t>
            </w:r>
          </w:p>
        </w:tc>
        <w:tc>
          <w:tcPr>
            <w:tcW w:w="3926" w:type="dxa"/>
          </w:tcPr>
          <w:p w14:paraId="696B5E8F" w14:textId="77777777" w:rsidR="00305BCD" w:rsidRDefault="00305BCD" w:rsidP="00F01547">
            <w:r>
              <w:t>VAC31518COV3001 Phase III Pivotal: Moderate and severe/critical disease (first occurrence of molecularly confirmed, moderate to severe/critical COVID-19)</w:t>
            </w:r>
          </w:p>
        </w:tc>
        <w:tc>
          <w:tcPr>
            <w:tcW w:w="1932" w:type="dxa"/>
          </w:tcPr>
          <w:p w14:paraId="571781F1" w14:textId="77777777" w:rsidR="00305BCD" w:rsidRDefault="00305BCD" w:rsidP="00C1651F">
            <w:r>
              <w:t>Yes:</w:t>
            </w:r>
          </w:p>
          <w:p w14:paraId="3BE0ED44" w14:textId="77777777" w:rsidR="00305BCD" w:rsidRDefault="00305BCD" w:rsidP="00C1651F"/>
          <w:p w14:paraId="3EFB2710" w14:textId="77777777" w:rsidR="00305BCD" w:rsidRDefault="00305BCD" w:rsidP="00F01547">
            <w:r>
              <w:t>Severity of disease (pivotal)</w:t>
            </w:r>
          </w:p>
        </w:tc>
      </w:tr>
      <w:tr w:rsidR="00305BCD" w14:paraId="0AC0023E" w14:textId="77777777" w:rsidTr="009C0297">
        <w:tc>
          <w:tcPr>
            <w:tcW w:w="2673" w:type="dxa"/>
          </w:tcPr>
          <w:p w14:paraId="2CE384E0" w14:textId="77777777" w:rsidR="00305BCD" w:rsidRDefault="00305BCD" w:rsidP="00C1651F">
            <w:pPr>
              <w:rPr>
                <w:rStyle w:val="Emphasis"/>
                <w:rFonts w:cstheme="minorHAnsi"/>
                <w:b/>
                <w:i w:val="0"/>
                <w:color w:val="000000"/>
              </w:rPr>
            </w:pPr>
            <w:r w:rsidRPr="00F01547">
              <w:rPr>
                <w:rStyle w:val="Emphasis"/>
                <w:rFonts w:cstheme="minorHAnsi"/>
                <w:b/>
                <w:i w:val="0"/>
                <w:color w:val="000000"/>
              </w:rPr>
              <w:t>crizanlizumab</w:t>
            </w:r>
          </w:p>
          <w:p w14:paraId="2F6D3ED9" w14:textId="77777777" w:rsidR="00305BCD" w:rsidRDefault="00305BCD" w:rsidP="00C1651F">
            <w:pPr>
              <w:rPr>
                <w:rStyle w:val="Emphasis"/>
                <w:rFonts w:cstheme="minorHAnsi"/>
                <w:b/>
                <w:i w:val="0"/>
                <w:color w:val="000000"/>
              </w:rPr>
            </w:pPr>
          </w:p>
          <w:p w14:paraId="0D10CA86" w14:textId="77777777" w:rsidR="00305BCD" w:rsidRDefault="00305BCD" w:rsidP="00C1651F">
            <w:pPr>
              <w:rPr>
                <w:rStyle w:val="Emphasis"/>
                <w:rFonts w:cstheme="minorHAnsi"/>
                <w:i w:val="0"/>
                <w:color w:val="000000"/>
              </w:rPr>
            </w:pPr>
            <w:r>
              <w:rPr>
                <w:rStyle w:val="Emphasis"/>
                <w:rFonts w:cstheme="minorHAnsi"/>
                <w:i w:val="0"/>
                <w:color w:val="000000"/>
              </w:rPr>
              <w:t>Adakveo</w:t>
            </w:r>
          </w:p>
          <w:p w14:paraId="5836394A" w14:textId="77777777" w:rsidR="00305BCD" w:rsidRDefault="00305BCD" w:rsidP="00C1651F">
            <w:pPr>
              <w:rPr>
                <w:rStyle w:val="Emphasis"/>
                <w:rFonts w:cstheme="minorHAnsi"/>
                <w:i w:val="0"/>
                <w:color w:val="000000"/>
              </w:rPr>
            </w:pPr>
          </w:p>
          <w:p w14:paraId="3340B815" w14:textId="77777777" w:rsidR="00305BCD" w:rsidRDefault="00305BCD" w:rsidP="00C1651F">
            <w:pPr>
              <w:rPr>
                <w:rStyle w:val="Emphasis"/>
                <w:rFonts w:cstheme="minorHAnsi"/>
                <w:i w:val="0"/>
                <w:color w:val="000000"/>
              </w:rPr>
            </w:pPr>
            <w:r>
              <w:rPr>
                <w:rStyle w:val="Emphasis"/>
                <w:rFonts w:cstheme="minorHAnsi"/>
                <w:i w:val="0"/>
                <w:color w:val="000000"/>
              </w:rPr>
              <w:t>CMA 28/10/20</w:t>
            </w:r>
          </w:p>
          <w:p w14:paraId="54E2BC31" w14:textId="77777777" w:rsidR="00305BCD" w:rsidRDefault="00305BCD" w:rsidP="00C1651F">
            <w:pPr>
              <w:rPr>
                <w:rStyle w:val="Emphasis"/>
                <w:rFonts w:cstheme="minorHAnsi"/>
                <w:i w:val="0"/>
                <w:color w:val="000000"/>
              </w:rPr>
            </w:pPr>
          </w:p>
          <w:p w14:paraId="195A9758" w14:textId="77777777" w:rsidR="00305BCD" w:rsidRPr="00F01547" w:rsidRDefault="00305BCD" w:rsidP="00C1651F">
            <w:pPr>
              <w:rPr>
                <w:rFonts w:cstheme="minorHAnsi"/>
                <w:b/>
                <w:i/>
              </w:rPr>
            </w:pPr>
            <w:r>
              <w:t>EMA/427120/2020</w:t>
            </w:r>
          </w:p>
        </w:tc>
        <w:tc>
          <w:tcPr>
            <w:tcW w:w="3093" w:type="dxa"/>
          </w:tcPr>
          <w:p w14:paraId="436CC1E4" w14:textId="77777777" w:rsidR="00305BCD" w:rsidRDefault="00305BCD" w:rsidP="00C1651F">
            <w:r>
              <w:t>Adakveo is indicated for the prevention of recurrent vaso-occlusive crises (VOCs) in sickle cell disease patients aged 16 years and older. It can be given as an add-on therapy to hydroxyurea/hydroxycarbamide (HU/HC) or as monotherapy in patients for whom HU/HC is inappropriate or inadequate.</w:t>
            </w:r>
          </w:p>
        </w:tc>
        <w:tc>
          <w:tcPr>
            <w:tcW w:w="3926" w:type="dxa"/>
          </w:tcPr>
          <w:p w14:paraId="3E572723" w14:textId="77777777" w:rsidR="00305BCD" w:rsidRDefault="00305BCD" w:rsidP="00C1651F">
            <w:r>
              <w:t>A2201 Phase II Pivotal: The primary endpoint of this trial was the annual rate of Sickle Cell-Related Pain Crises (SCPC).</w:t>
            </w:r>
          </w:p>
          <w:p w14:paraId="3085455A" w14:textId="77777777" w:rsidR="00305BCD" w:rsidRDefault="00305BCD" w:rsidP="00C1651F"/>
          <w:p w14:paraId="03C26D28" w14:textId="77777777" w:rsidR="00305BCD" w:rsidRDefault="00305BCD" w:rsidP="00C1651F">
            <w:r>
              <w:t>A2202 Phase II Supportive: Ongoing</w:t>
            </w:r>
          </w:p>
        </w:tc>
        <w:tc>
          <w:tcPr>
            <w:tcW w:w="1932" w:type="dxa"/>
          </w:tcPr>
          <w:p w14:paraId="54E25ABE" w14:textId="77777777" w:rsidR="00305BCD" w:rsidRDefault="00305BCD" w:rsidP="00C1651F">
            <w:r>
              <w:t>No</w:t>
            </w:r>
          </w:p>
        </w:tc>
      </w:tr>
      <w:tr w:rsidR="00305BCD" w14:paraId="7CAED26B" w14:textId="77777777" w:rsidTr="009C0297">
        <w:tc>
          <w:tcPr>
            <w:tcW w:w="2673" w:type="dxa"/>
          </w:tcPr>
          <w:p w14:paraId="0322C87D" w14:textId="77777777" w:rsidR="00305BCD" w:rsidRDefault="00305BCD" w:rsidP="00C1651F">
            <w:pPr>
              <w:rPr>
                <w:rStyle w:val="Emphasis"/>
                <w:rFonts w:cstheme="minorHAnsi"/>
                <w:i w:val="0"/>
                <w:color w:val="000000"/>
              </w:rPr>
            </w:pPr>
            <w:r>
              <w:rPr>
                <w:rStyle w:val="Emphasis"/>
                <w:rFonts w:cstheme="minorHAnsi"/>
                <w:b/>
                <w:i w:val="0"/>
                <w:color w:val="000000"/>
              </w:rPr>
              <w:t>bulevirtide</w:t>
            </w:r>
          </w:p>
          <w:p w14:paraId="68720D38" w14:textId="77777777" w:rsidR="00305BCD" w:rsidRDefault="00305BCD" w:rsidP="00C1651F">
            <w:pPr>
              <w:rPr>
                <w:rStyle w:val="Emphasis"/>
                <w:rFonts w:cstheme="minorHAnsi"/>
                <w:i w:val="0"/>
                <w:color w:val="000000"/>
              </w:rPr>
            </w:pPr>
          </w:p>
          <w:p w14:paraId="7A7204D2" w14:textId="77777777" w:rsidR="00305BCD" w:rsidRDefault="00305BCD" w:rsidP="00C1651F">
            <w:pPr>
              <w:rPr>
                <w:rStyle w:val="Emphasis"/>
                <w:rFonts w:cstheme="minorHAnsi"/>
                <w:i w:val="0"/>
                <w:color w:val="000000"/>
              </w:rPr>
            </w:pPr>
            <w:r>
              <w:rPr>
                <w:rStyle w:val="Emphasis"/>
                <w:rFonts w:cstheme="minorHAnsi"/>
                <w:i w:val="0"/>
                <w:color w:val="000000"/>
              </w:rPr>
              <w:t>Hepcludex</w:t>
            </w:r>
          </w:p>
          <w:p w14:paraId="032FD737" w14:textId="77777777" w:rsidR="00305BCD" w:rsidRDefault="00305BCD" w:rsidP="00C1651F">
            <w:pPr>
              <w:rPr>
                <w:rStyle w:val="Emphasis"/>
                <w:rFonts w:cstheme="minorHAnsi"/>
                <w:i w:val="0"/>
                <w:color w:val="000000"/>
              </w:rPr>
            </w:pPr>
          </w:p>
          <w:p w14:paraId="5D60143F" w14:textId="77777777" w:rsidR="00305BCD" w:rsidRDefault="00305BCD" w:rsidP="00C1651F">
            <w:pPr>
              <w:rPr>
                <w:rStyle w:val="Emphasis"/>
                <w:rFonts w:cstheme="minorHAnsi"/>
                <w:i w:val="0"/>
                <w:color w:val="000000"/>
              </w:rPr>
            </w:pPr>
            <w:r>
              <w:rPr>
                <w:rStyle w:val="Emphasis"/>
                <w:rFonts w:cstheme="minorHAnsi"/>
                <w:i w:val="0"/>
                <w:color w:val="000000"/>
              </w:rPr>
              <w:t>CMA 31/07/20</w:t>
            </w:r>
          </w:p>
          <w:p w14:paraId="49F5A8BA" w14:textId="77777777" w:rsidR="00305BCD" w:rsidRDefault="00305BCD" w:rsidP="00C1651F">
            <w:pPr>
              <w:rPr>
                <w:rStyle w:val="Emphasis"/>
                <w:rFonts w:cstheme="minorHAnsi"/>
                <w:i w:val="0"/>
                <w:color w:val="000000"/>
              </w:rPr>
            </w:pPr>
          </w:p>
          <w:p w14:paraId="7056D15E" w14:textId="77777777" w:rsidR="00305BCD" w:rsidRPr="00F01547" w:rsidRDefault="00305BCD" w:rsidP="00C1651F">
            <w:pPr>
              <w:rPr>
                <w:rStyle w:val="Emphasis"/>
                <w:rFonts w:cstheme="minorHAnsi"/>
                <w:i w:val="0"/>
                <w:color w:val="000000"/>
              </w:rPr>
            </w:pPr>
            <w:r>
              <w:t>EMA/326446/2020</w:t>
            </w:r>
          </w:p>
        </w:tc>
        <w:tc>
          <w:tcPr>
            <w:tcW w:w="3093" w:type="dxa"/>
          </w:tcPr>
          <w:p w14:paraId="4DAAEF45" w14:textId="77777777" w:rsidR="00305BCD" w:rsidRDefault="00305BCD" w:rsidP="00C1651F">
            <w:r>
              <w:t>[T]reatment of chronic hepatitis delta virus (HDV) infection in plasma (or serum) HDV-RNA positive adult patients with compensated liver disease.</w:t>
            </w:r>
          </w:p>
        </w:tc>
        <w:tc>
          <w:tcPr>
            <w:tcW w:w="3926" w:type="dxa"/>
          </w:tcPr>
          <w:p w14:paraId="31AA081A" w14:textId="77777777" w:rsidR="00305BCD" w:rsidRDefault="00305BCD" w:rsidP="00C1651F">
            <w:r>
              <w:t>MYR202 Phase II Pivotal: The primary variable was HDV RNA response, defined as HDV RNA negativation or a decrease in HDV RNA by ≥2 log10 IU/mL from baseline to week 24.</w:t>
            </w:r>
          </w:p>
          <w:p w14:paraId="6305A5B6" w14:textId="77777777" w:rsidR="00305BCD" w:rsidRDefault="00305BCD" w:rsidP="00C1651F"/>
          <w:p w14:paraId="6AB30FE8" w14:textId="77777777" w:rsidR="00305BCD" w:rsidRDefault="00305BCD" w:rsidP="00C1651F">
            <w:r>
              <w:t>MYR203 Phase II Pivotal: The primary variable was the occurrence of a negative polymerase chain reaction (PCR) result of HDV RNA (HDV RNA negativation) at week 72 (end of the follow up period).</w:t>
            </w:r>
          </w:p>
        </w:tc>
        <w:tc>
          <w:tcPr>
            <w:tcW w:w="1932" w:type="dxa"/>
          </w:tcPr>
          <w:p w14:paraId="72761A7C" w14:textId="77777777" w:rsidR="00305BCD" w:rsidRDefault="00305BCD" w:rsidP="00C1651F">
            <w:r>
              <w:t>Yes:</w:t>
            </w:r>
          </w:p>
          <w:p w14:paraId="37E2F3C5" w14:textId="77777777" w:rsidR="00305BCD" w:rsidRDefault="00305BCD" w:rsidP="00C1651F"/>
          <w:p w14:paraId="18AE95A0" w14:textId="77777777" w:rsidR="00305BCD" w:rsidRDefault="00305BCD" w:rsidP="00C1651F">
            <w:r>
              <w:t>HDV RNA response - undetectable or at least 2 log from baseline (pivotal)</w:t>
            </w:r>
          </w:p>
        </w:tc>
      </w:tr>
      <w:tr w:rsidR="00305BCD" w14:paraId="45A2E5FC" w14:textId="77777777" w:rsidTr="009C0297">
        <w:tc>
          <w:tcPr>
            <w:tcW w:w="2673" w:type="dxa"/>
          </w:tcPr>
          <w:p w14:paraId="59CB5505" w14:textId="77777777" w:rsidR="00305BCD" w:rsidRDefault="00305BCD" w:rsidP="00C1651F">
            <w:pPr>
              <w:rPr>
                <w:rStyle w:val="Emphasis"/>
                <w:rFonts w:cstheme="minorHAnsi"/>
                <w:i w:val="0"/>
                <w:color w:val="000000"/>
              </w:rPr>
            </w:pPr>
            <w:r>
              <w:rPr>
                <w:rStyle w:val="Emphasis"/>
                <w:rFonts w:cstheme="minorHAnsi"/>
                <w:b/>
                <w:i w:val="0"/>
                <w:color w:val="000000"/>
              </w:rPr>
              <w:t>andexanet alfa</w:t>
            </w:r>
          </w:p>
          <w:p w14:paraId="68898E49" w14:textId="77777777" w:rsidR="00305BCD" w:rsidRDefault="00305BCD" w:rsidP="00C1651F">
            <w:pPr>
              <w:rPr>
                <w:rStyle w:val="Emphasis"/>
                <w:rFonts w:cstheme="minorHAnsi"/>
                <w:i w:val="0"/>
                <w:color w:val="000000"/>
              </w:rPr>
            </w:pPr>
          </w:p>
          <w:p w14:paraId="00246ED3" w14:textId="77777777" w:rsidR="00305BCD" w:rsidRDefault="00305BCD" w:rsidP="00C1651F">
            <w:pPr>
              <w:rPr>
                <w:rStyle w:val="Emphasis"/>
                <w:rFonts w:cstheme="minorHAnsi"/>
                <w:i w:val="0"/>
                <w:color w:val="000000"/>
              </w:rPr>
            </w:pPr>
            <w:r>
              <w:rPr>
                <w:rStyle w:val="Emphasis"/>
                <w:rFonts w:cstheme="minorHAnsi"/>
                <w:i w:val="0"/>
                <w:color w:val="000000"/>
              </w:rPr>
              <w:t>Ondexxya</w:t>
            </w:r>
          </w:p>
          <w:p w14:paraId="10BC4223" w14:textId="77777777" w:rsidR="00305BCD" w:rsidRDefault="00305BCD" w:rsidP="00C1651F">
            <w:pPr>
              <w:rPr>
                <w:rStyle w:val="Emphasis"/>
                <w:rFonts w:cstheme="minorHAnsi"/>
                <w:i w:val="0"/>
                <w:color w:val="000000"/>
              </w:rPr>
            </w:pPr>
          </w:p>
          <w:p w14:paraId="2141F603" w14:textId="77777777" w:rsidR="00305BCD" w:rsidRDefault="00305BCD" w:rsidP="00C1651F">
            <w:pPr>
              <w:rPr>
                <w:rStyle w:val="Emphasis"/>
                <w:rFonts w:cstheme="minorHAnsi"/>
                <w:i w:val="0"/>
                <w:color w:val="000000"/>
              </w:rPr>
            </w:pPr>
            <w:r>
              <w:rPr>
                <w:rStyle w:val="Emphasis"/>
                <w:rFonts w:cstheme="minorHAnsi"/>
                <w:i w:val="0"/>
                <w:color w:val="000000"/>
              </w:rPr>
              <w:t>CMA 26/04/19</w:t>
            </w:r>
          </w:p>
          <w:p w14:paraId="7A8782E5" w14:textId="77777777" w:rsidR="00305BCD" w:rsidRDefault="00305BCD" w:rsidP="00C1651F">
            <w:pPr>
              <w:rPr>
                <w:rStyle w:val="Emphasis"/>
                <w:rFonts w:cstheme="minorHAnsi"/>
                <w:i w:val="0"/>
                <w:color w:val="000000"/>
              </w:rPr>
            </w:pPr>
          </w:p>
          <w:p w14:paraId="3BB58B3F" w14:textId="77777777" w:rsidR="00305BCD" w:rsidRPr="00771907" w:rsidRDefault="00305BCD" w:rsidP="00C1651F">
            <w:pPr>
              <w:rPr>
                <w:rStyle w:val="Emphasis"/>
                <w:rFonts w:cstheme="minorHAnsi"/>
                <w:i w:val="0"/>
                <w:color w:val="000000"/>
              </w:rPr>
            </w:pPr>
            <w:r>
              <w:t>EMA/347546/2019</w:t>
            </w:r>
          </w:p>
        </w:tc>
        <w:tc>
          <w:tcPr>
            <w:tcW w:w="3093" w:type="dxa"/>
          </w:tcPr>
          <w:p w14:paraId="3EABB3B2" w14:textId="77777777" w:rsidR="00305BCD" w:rsidRDefault="00305BCD" w:rsidP="00C1651F">
            <w:r>
              <w:t>For adult patients treated with a direct factor Xa (FXa) inhibitor (apixaban or rivaroxaban) when reversal of anticoagulation is needed due to life-threatening or uncontrolled bleeding.</w:t>
            </w:r>
          </w:p>
        </w:tc>
        <w:tc>
          <w:tcPr>
            <w:tcW w:w="3926" w:type="dxa"/>
          </w:tcPr>
          <w:p w14:paraId="5C199C43" w14:textId="77777777" w:rsidR="00305BCD" w:rsidRDefault="00305BCD" w:rsidP="00C1651F">
            <w:r>
              <w:t>14-503 Phase III Pivotal: Change (%) from baseline in anti-fXa activity at a nadir (after bolus for Part 1 or during infusion for Part 2) was evaluated as the primary endpoint.</w:t>
            </w:r>
          </w:p>
          <w:p w14:paraId="5D8CA60E" w14:textId="77777777" w:rsidR="00305BCD" w:rsidRDefault="00305BCD" w:rsidP="00C1651F"/>
          <w:p w14:paraId="77CB609E" w14:textId="77777777" w:rsidR="00305BCD" w:rsidRDefault="00305BCD" w:rsidP="00C1651F">
            <w:r>
              <w:t>14-504 Phase III Pivotal: Change (%) from baseline in anti-fXa activity at a nadir (after bolus for Part 1 or during infusion for Part 2) was evaluated as the primary endpoint.</w:t>
            </w:r>
          </w:p>
          <w:p w14:paraId="50467F10" w14:textId="77777777" w:rsidR="00305BCD" w:rsidRDefault="00305BCD" w:rsidP="00C1651F"/>
          <w:p w14:paraId="3B8577C8" w14:textId="77777777" w:rsidR="00305BCD" w:rsidRDefault="00305BCD" w:rsidP="00C1651F">
            <w:r>
              <w:t>14-505 Prospective Pivotal: Primary efficacy endpoints were anti-fXa activity and achievement of hemostatic efficacy of stopping a major bleed at 12 hours from end of andexanet infusion</w:t>
            </w:r>
          </w:p>
        </w:tc>
        <w:tc>
          <w:tcPr>
            <w:tcW w:w="1932" w:type="dxa"/>
          </w:tcPr>
          <w:p w14:paraId="0A510DE0" w14:textId="77777777" w:rsidR="00305BCD" w:rsidRDefault="00305BCD" w:rsidP="00C1651F">
            <w:r>
              <w:lastRenderedPageBreak/>
              <w:t>Yes:</w:t>
            </w:r>
          </w:p>
          <w:p w14:paraId="628DF229" w14:textId="77777777" w:rsidR="00305BCD" w:rsidRDefault="00305BCD" w:rsidP="00C1651F"/>
          <w:p w14:paraId="7A8FFA0A" w14:textId="77777777" w:rsidR="00305BCD" w:rsidRDefault="00305BCD" w:rsidP="00C1651F">
            <w:r>
              <w:t>Percent change in anti-fXa activity at nadir (pivotal)</w:t>
            </w:r>
          </w:p>
          <w:p w14:paraId="00784819" w14:textId="77777777" w:rsidR="00305BCD" w:rsidRDefault="00305BCD" w:rsidP="00C1651F"/>
          <w:p w14:paraId="2172A14E" w14:textId="77777777" w:rsidR="00305BCD" w:rsidRDefault="00305BCD" w:rsidP="00C1651F">
            <w:r>
              <w:t>Hemostatic efficacy (pivotal)</w:t>
            </w:r>
          </w:p>
        </w:tc>
      </w:tr>
      <w:tr w:rsidR="00305BCD" w14:paraId="229CA39F" w14:textId="77777777" w:rsidTr="009C0297">
        <w:tc>
          <w:tcPr>
            <w:tcW w:w="2673" w:type="dxa"/>
          </w:tcPr>
          <w:p w14:paraId="155DBFD1" w14:textId="77777777" w:rsidR="00305BCD" w:rsidRDefault="00305BCD" w:rsidP="00C1651F">
            <w:pPr>
              <w:rPr>
                <w:rStyle w:val="Emphasis"/>
                <w:rFonts w:cstheme="minorHAnsi"/>
                <w:b/>
                <w:i w:val="0"/>
                <w:color w:val="000000"/>
              </w:rPr>
            </w:pPr>
            <w:r>
              <w:rPr>
                <w:rStyle w:val="Emphasis"/>
                <w:rFonts w:cstheme="minorHAnsi"/>
                <w:b/>
                <w:i w:val="0"/>
                <w:color w:val="000000"/>
              </w:rPr>
              <w:t>selinexor</w:t>
            </w:r>
          </w:p>
          <w:p w14:paraId="489466D4" w14:textId="77777777" w:rsidR="00305BCD" w:rsidRDefault="00305BCD" w:rsidP="00C1651F">
            <w:pPr>
              <w:rPr>
                <w:rStyle w:val="Emphasis"/>
                <w:rFonts w:cstheme="minorHAnsi"/>
                <w:b/>
                <w:i w:val="0"/>
                <w:color w:val="000000"/>
              </w:rPr>
            </w:pPr>
          </w:p>
          <w:p w14:paraId="0039ABCF" w14:textId="77777777" w:rsidR="00305BCD" w:rsidRDefault="00305BCD" w:rsidP="00C1651F">
            <w:pPr>
              <w:rPr>
                <w:rStyle w:val="Emphasis"/>
                <w:rFonts w:cstheme="minorHAnsi"/>
                <w:i w:val="0"/>
                <w:color w:val="000000"/>
              </w:rPr>
            </w:pPr>
            <w:r>
              <w:rPr>
                <w:rStyle w:val="Emphasis"/>
                <w:rFonts w:cstheme="minorHAnsi"/>
                <w:i w:val="0"/>
                <w:color w:val="000000"/>
              </w:rPr>
              <w:t>Nexpovio</w:t>
            </w:r>
          </w:p>
          <w:p w14:paraId="3F80E10B" w14:textId="77777777" w:rsidR="00305BCD" w:rsidRDefault="00305BCD" w:rsidP="00C1651F">
            <w:pPr>
              <w:rPr>
                <w:rStyle w:val="Emphasis"/>
                <w:rFonts w:cstheme="minorHAnsi"/>
                <w:i w:val="0"/>
                <w:color w:val="000000"/>
              </w:rPr>
            </w:pPr>
          </w:p>
          <w:p w14:paraId="4E46295B" w14:textId="77777777" w:rsidR="00305BCD" w:rsidRDefault="00305BCD" w:rsidP="00C1651F">
            <w:pPr>
              <w:rPr>
                <w:rStyle w:val="Emphasis"/>
                <w:rFonts w:cstheme="minorHAnsi"/>
                <w:i w:val="0"/>
                <w:color w:val="000000"/>
              </w:rPr>
            </w:pPr>
            <w:r>
              <w:rPr>
                <w:rStyle w:val="Emphasis"/>
                <w:rFonts w:cstheme="minorHAnsi"/>
                <w:i w:val="0"/>
                <w:color w:val="000000"/>
              </w:rPr>
              <w:t>CMA 26/03/21</w:t>
            </w:r>
          </w:p>
          <w:p w14:paraId="74AD5F6C" w14:textId="77777777" w:rsidR="00305BCD" w:rsidRDefault="00305BCD" w:rsidP="00C1651F">
            <w:pPr>
              <w:rPr>
                <w:rStyle w:val="Emphasis"/>
                <w:rFonts w:cstheme="minorHAnsi"/>
                <w:i w:val="0"/>
                <w:color w:val="000000"/>
              </w:rPr>
            </w:pPr>
          </w:p>
          <w:p w14:paraId="3A32AA7F" w14:textId="77777777" w:rsidR="00305BCD" w:rsidRPr="00B81AD2" w:rsidRDefault="00305BCD" w:rsidP="00C1651F">
            <w:pPr>
              <w:rPr>
                <w:rStyle w:val="Emphasis"/>
                <w:rFonts w:cstheme="minorHAnsi"/>
                <w:i w:val="0"/>
                <w:color w:val="000000"/>
              </w:rPr>
            </w:pPr>
            <w:r>
              <w:t>EMA/CHMP/95252/2021</w:t>
            </w:r>
          </w:p>
        </w:tc>
        <w:tc>
          <w:tcPr>
            <w:tcW w:w="3093" w:type="dxa"/>
          </w:tcPr>
          <w:p w14:paraId="44C39225" w14:textId="77777777" w:rsidR="00305BCD" w:rsidRDefault="00305BCD" w:rsidP="00C1651F">
            <w:r>
              <w:t>[T]reatment of multiple myeloma in adult patients, who have received at least four prior therapies and whose disease is refractory to at least two proteasome inhibitors, two immunomodulatory agents, and an anti-CD38 monoclonal antibody, and who have demonstrated disease progression on the last therapy.</w:t>
            </w:r>
          </w:p>
        </w:tc>
        <w:tc>
          <w:tcPr>
            <w:tcW w:w="3926" w:type="dxa"/>
          </w:tcPr>
          <w:p w14:paraId="1DCA5E46" w14:textId="77777777" w:rsidR="00305BCD" w:rsidRDefault="00305BCD" w:rsidP="00A10383">
            <w:r>
              <w:t xml:space="preserve">KCP-330-012 Part 2 Phase IIb Pivotal: Primary endpoint: ORR (overall response rate) </w:t>
            </w:r>
          </w:p>
          <w:p w14:paraId="778F6C2F" w14:textId="77777777" w:rsidR="00305BCD" w:rsidRDefault="00305BCD" w:rsidP="00C1651F"/>
          <w:p w14:paraId="54362F39" w14:textId="77777777" w:rsidR="00305BCD" w:rsidRDefault="00305BCD" w:rsidP="00C1651F">
            <w:r>
              <w:t>Plus nine supportive studies</w:t>
            </w:r>
          </w:p>
        </w:tc>
        <w:tc>
          <w:tcPr>
            <w:tcW w:w="1932" w:type="dxa"/>
          </w:tcPr>
          <w:p w14:paraId="3DBE8A21" w14:textId="77777777" w:rsidR="00305BCD" w:rsidRDefault="00305BCD" w:rsidP="00C1651F">
            <w:r>
              <w:t>Yes:</w:t>
            </w:r>
          </w:p>
          <w:p w14:paraId="51C5E775" w14:textId="77777777" w:rsidR="00305BCD" w:rsidRDefault="00305BCD" w:rsidP="00C1651F"/>
          <w:p w14:paraId="304D5AAE" w14:textId="77777777" w:rsidR="00305BCD" w:rsidRDefault="00305BCD" w:rsidP="00C1651F">
            <w:r>
              <w:t>Overall response rate (pivotal)</w:t>
            </w:r>
          </w:p>
        </w:tc>
      </w:tr>
      <w:tr w:rsidR="00305BCD" w14:paraId="79ED2BC0" w14:textId="77777777" w:rsidTr="009C0297">
        <w:tc>
          <w:tcPr>
            <w:tcW w:w="2673" w:type="dxa"/>
          </w:tcPr>
          <w:p w14:paraId="6E3DDF81" w14:textId="77777777" w:rsidR="00305BCD" w:rsidRDefault="00305BCD" w:rsidP="00C1651F">
            <w:pPr>
              <w:rPr>
                <w:rStyle w:val="Emphasis"/>
                <w:rFonts w:cstheme="minorHAnsi"/>
                <w:b/>
                <w:i w:val="0"/>
                <w:color w:val="000000"/>
              </w:rPr>
            </w:pPr>
            <w:r>
              <w:rPr>
                <w:rStyle w:val="Emphasis"/>
                <w:rFonts w:cstheme="minorHAnsi"/>
                <w:b/>
                <w:i w:val="0"/>
                <w:color w:val="000000"/>
              </w:rPr>
              <w:t>polatuzumab vedotin</w:t>
            </w:r>
          </w:p>
          <w:p w14:paraId="56B44269" w14:textId="77777777" w:rsidR="00305BCD" w:rsidRDefault="00305BCD" w:rsidP="00C1651F">
            <w:pPr>
              <w:rPr>
                <w:rStyle w:val="Emphasis"/>
                <w:rFonts w:cstheme="minorHAnsi"/>
                <w:b/>
                <w:i w:val="0"/>
                <w:color w:val="000000"/>
              </w:rPr>
            </w:pPr>
          </w:p>
          <w:p w14:paraId="5C649B5F" w14:textId="77777777" w:rsidR="00305BCD" w:rsidRDefault="00305BCD" w:rsidP="00C1651F">
            <w:pPr>
              <w:rPr>
                <w:rStyle w:val="Emphasis"/>
                <w:rFonts w:cstheme="minorHAnsi"/>
                <w:i w:val="0"/>
                <w:color w:val="000000"/>
              </w:rPr>
            </w:pPr>
            <w:r>
              <w:rPr>
                <w:rStyle w:val="Emphasis"/>
                <w:rFonts w:cstheme="minorHAnsi"/>
                <w:i w:val="0"/>
                <w:color w:val="000000"/>
              </w:rPr>
              <w:t>Polivy</w:t>
            </w:r>
          </w:p>
          <w:p w14:paraId="1AA97490" w14:textId="77777777" w:rsidR="00305BCD" w:rsidRDefault="00305BCD" w:rsidP="00C1651F">
            <w:pPr>
              <w:rPr>
                <w:rStyle w:val="Emphasis"/>
                <w:rFonts w:cstheme="minorHAnsi"/>
                <w:i w:val="0"/>
                <w:color w:val="000000"/>
              </w:rPr>
            </w:pPr>
          </w:p>
          <w:p w14:paraId="71E9851C" w14:textId="77777777" w:rsidR="00305BCD" w:rsidRDefault="00305BCD" w:rsidP="00C1651F">
            <w:pPr>
              <w:rPr>
                <w:rStyle w:val="Emphasis"/>
                <w:rFonts w:cstheme="minorHAnsi"/>
                <w:i w:val="0"/>
                <w:color w:val="000000"/>
              </w:rPr>
            </w:pPr>
            <w:r>
              <w:rPr>
                <w:rStyle w:val="Emphasis"/>
                <w:rFonts w:cstheme="minorHAnsi"/>
                <w:i w:val="0"/>
                <w:color w:val="000000"/>
              </w:rPr>
              <w:t>CMA 16/01/20</w:t>
            </w:r>
          </w:p>
          <w:p w14:paraId="26A48A58" w14:textId="77777777" w:rsidR="00305BCD" w:rsidRDefault="00305BCD" w:rsidP="00C1651F">
            <w:pPr>
              <w:rPr>
                <w:rStyle w:val="Emphasis"/>
                <w:rFonts w:cstheme="minorHAnsi"/>
                <w:i w:val="0"/>
                <w:color w:val="000000"/>
              </w:rPr>
            </w:pPr>
          </w:p>
          <w:p w14:paraId="115C1F86" w14:textId="77777777" w:rsidR="00305BCD" w:rsidRDefault="00305BCD" w:rsidP="00C1651F">
            <w:pPr>
              <w:rPr>
                <w:rStyle w:val="Emphasis"/>
                <w:rFonts w:cstheme="minorHAnsi"/>
                <w:i w:val="0"/>
                <w:color w:val="000000"/>
              </w:rPr>
            </w:pPr>
            <w:r>
              <w:t>EMA/CHMP/690748/2019</w:t>
            </w:r>
          </w:p>
          <w:p w14:paraId="16320B15" w14:textId="77777777" w:rsidR="00305BCD" w:rsidRPr="00B81AD2" w:rsidRDefault="00305BCD" w:rsidP="00C1651F">
            <w:pPr>
              <w:rPr>
                <w:rStyle w:val="Emphasis"/>
                <w:rFonts w:cstheme="minorHAnsi"/>
                <w:i w:val="0"/>
                <w:color w:val="000000"/>
              </w:rPr>
            </w:pPr>
          </w:p>
        </w:tc>
        <w:tc>
          <w:tcPr>
            <w:tcW w:w="3093" w:type="dxa"/>
          </w:tcPr>
          <w:p w14:paraId="18DFEF56" w14:textId="77777777" w:rsidR="00305BCD" w:rsidRDefault="00305BCD" w:rsidP="00C1651F">
            <w:r>
              <w:t>Polatuzumab vedotin, is intended in combination with bendamustine and rituximab, for the treatment of adult patients with relapsed/refractory diffuse large B-cell lymphoma (DLBCL) who are not candidates for haematopoietic stem cell transplant.</w:t>
            </w:r>
          </w:p>
        </w:tc>
        <w:tc>
          <w:tcPr>
            <w:tcW w:w="3926" w:type="dxa"/>
          </w:tcPr>
          <w:p w14:paraId="61ED6D63" w14:textId="77777777" w:rsidR="00305BCD" w:rsidRDefault="00305BCD" w:rsidP="00C1651F">
            <w:r>
              <w:t>GO29365 Phase Ib/II Pivotal: Safety (recommended dose), Efficacy (defined complete response (CR) rate using Modified Lugano 2014 Response Criteria (positron emission tomography– computed tomography [PET-CT] criteria) at the time of primary response assessment (6−8 weeks after Cycle 6 Day 1 or last dose of study medication) as defined by the Independent Review Committee (IRC))</w:t>
            </w:r>
          </w:p>
          <w:p w14:paraId="6C8A632D" w14:textId="77777777" w:rsidR="00305BCD" w:rsidRDefault="00305BCD" w:rsidP="00C1651F"/>
          <w:p w14:paraId="140BAAFD" w14:textId="77777777" w:rsidR="00305BCD" w:rsidRDefault="00305BCD" w:rsidP="00C1651F">
            <w:r>
              <w:t>DCS4968g Phase I Safety Supportive: The primary objective included the evaluation of the safety and tolerability of polatuzumab vedotin and the determination of the maximum tolerated dose (MTD) and dose-limiting toxicities (DLTs) when administered Q3W in patients with NHL and CLL.</w:t>
            </w:r>
          </w:p>
          <w:p w14:paraId="1EAB6648" w14:textId="77777777" w:rsidR="00305BCD" w:rsidRDefault="00305BCD" w:rsidP="00C1651F"/>
          <w:p w14:paraId="307F9EBD" w14:textId="77777777" w:rsidR="00305BCD" w:rsidRDefault="00305BCD" w:rsidP="00C1651F">
            <w:r>
              <w:t>GO27834 Phase II Supportive: Overall response rate</w:t>
            </w:r>
          </w:p>
          <w:p w14:paraId="2AF9968C" w14:textId="77777777" w:rsidR="00305BCD" w:rsidRDefault="00305BCD" w:rsidP="00C1651F"/>
          <w:p w14:paraId="44114330" w14:textId="77777777" w:rsidR="00305BCD" w:rsidRDefault="00305BCD" w:rsidP="00C1651F">
            <w:r>
              <w:t>GO29044 Phase Ib/II Supportive: Complete response rate</w:t>
            </w:r>
          </w:p>
        </w:tc>
        <w:tc>
          <w:tcPr>
            <w:tcW w:w="1932" w:type="dxa"/>
          </w:tcPr>
          <w:p w14:paraId="654B6978" w14:textId="77777777" w:rsidR="00305BCD" w:rsidRDefault="00305BCD" w:rsidP="00C1651F">
            <w:r>
              <w:t>Yes:</w:t>
            </w:r>
          </w:p>
          <w:p w14:paraId="191A030D" w14:textId="77777777" w:rsidR="00305BCD" w:rsidRDefault="00305BCD" w:rsidP="00C1651F"/>
          <w:p w14:paraId="15F3D720" w14:textId="77777777" w:rsidR="00305BCD" w:rsidRDefault="00305BCD" w:rsidP="00C1651F">
            <w:r>
              <w:t>Complete response rate (pivotal)</w:t>
            </w:r>
          </w:p>
          <w:p w14:paraId="4690B274" w14:textId="77777777" w:rsidR="00305BCD" w:rsidRDefault="00305BCD" w:rsidP="00C1651F"/>
          <w:p w14:paraId="381ADF16" w14:textId="77777777" w:rsidR="00305BCD" w:rsidRDefault="00305BCD" w:rsidP="00C1651F">
            <w:r>
              <w:t>Overall response rate</w:t>
            </w:r>
          </w:p>
        </w:tc>
      </w:tr>
      <w:tr w:rsidR="00305BCD" w14:paraId="69A3489A" w14:textId="77777777" w:rsidTr="009C0297">
        <w:tc>
          <w:tcPr>
            <w:tcW w:w="2673" w:type="dxa"/>
          </w:tcPr>
          <w:p w14:paraId="1AB46002" w14:textId="77777777" w:rsidR="00305BCD" w:rsidRDefault="00305BCD" w:rsidP="00C1651F">
            <w:pPr>
              <w:rPr>
                <w:rStyle w:val="Emphasis"/>
                <w:rFonts w:cstheme="minorHAnsi"/>
                <w:b/>
                <w:i w:val="0"/>
                <w:color w:val="000000"/>
              </w:rPr>
            </w:pPr>
            <w:r>
              <w:rPr>
                <w:rStyle w:val="Emphasis"/>
                <w:rFonts w:cstheme="minorHAnsi"/>
                <w:b/>
                <w:i w:val="0"/>
                <w:color w:val="000000"/>
              </w:rPr>
              <w:t>larotrectinib</w:t>
            </w:r>
          </w:p>
          <w:p w14:paraId="14D3FEED" w14:textId="77777777" w:rsidR="00305BCD" w:rsidRDefault="00305BCD" w:rsidP="00C1651F">
            <w:pPr>
              <w:rPr>
                <w:rStyle w:val="Emphasis"/>
                <w:rFonts w:cstheme="minorHAnsi"/>
                <w:b/>
                <w:i w:val="0"/>
                <w:color w:val="000000"/>
              </w:rPr>
            </w:pPr>
          </w:p>
          <w:p w14:paraId="23E7878A" w14:textId="77777777" w:rsidR="00305BCD" w:rsidRDefault="00305BCD" w:rsidP="00C1651F">
            <w:pPr>
              <w:rPr>
                <w:rStyle w:val="Emphasis"/>
                <w:rFonts w:cstheme="minorHAnsi"/>
                <w:i w:val="0"/>
                <w:color w:val="000000"/>
              </w:rPr>
            </w:pPr>
            <w:r>
              <w:rPr>
                <w:rStyle w:val="Emphasis"/>
                <w:rFonts w:cstheme="minorHAnsi"/>
                <w:i w:val="0"/>
                <w:color w:val="000000"/>
              </w:rPr>
              <w:t>Vitrakvi</w:t>
            </w:r>
          </w:p>
          <w:p w14:paraId="044790E1" w14:textId="77777777" w:rsidR="00305BCD" w:rsidRDefault="00305BCD" w:rsidP="00C1651F">
            <w:pPr>
              <w:rPr>
                <w:rStyle w:val="Emphasis"/>
                <w:rFonts w:cstheme="minorHAnsi"/>
                <w:i w:val="0"/>
                <w:color w:val="000000"/>
              </w:rPr>
            </w:pPr>
          </w:p>
          <w:p w14:paraId="488DAFC0" w14:textId="77777777" w:rsidR="00305BCD" w:rsidRDefault="00305BCD" w:rsidP="00C1651F">
            <w:pPr>
              <w:rPr>
                <w:rStyle w:val="Emphasis"/>
                <w:rFonts w:cstheme="minorHAnsi"/>
                <w:i w:val="0"/>
                <w:color w:val="000000"/>
              </w:rPr>
            </w:pPr>
            <w:r>
              <w:rPr>
                <w:rStyle w:val="Emphasis"/>
                <w:rFonts w:cstheme="minorHAnsi"/>
                <w:i w:val="0"/>
                <w:color w:val="000000"/>
              </w:rPr>
              <w:t>CMA 19/09/19</w:t>
            </w:r>
          </w:p>
          <w:p w14:paraId="7E9C3270" w14:textId="77777777" w:rsidR="00305BCD" w:rsidRDefault="00305BCD" w:rsidP="00C1651F">
            <w:pPr>
              <w:rPr>
                <w:rStyle w:val="Emphasis"/>
                <w:rFonts w:cstheme="minorHAnsi"/>
                <w:i w:val="0"/>
                <w:color w:val="000000"/>
              </w:rPr>
            </w:pPr>
          </w:p>
          <w:p w14:paraId="4947DCC9" w14:textId="77777777" w:rsidR="00305BCD" w:rsidRPr="00A10383" w:rsidRDefault="00305BCD" w:rsidP="00C1651F">
            <w:pPr>
              <w:rPr>
                <w:rStyle w:val="Emphasis"/>
                <w:rFonts w:cstheme="minorHAnsi"/>
                <w:i w:val="0"/>
                <w:color w:val="000000"/>
              </w:rPr>
            </w:pPr>
            <w:r>
              <w:t>EMA/CHMP/469135/2019</w:t>
            </w:r>
          </w:p>
        </w:tc>
        <w:tc>
          <w:tcPr>
            <w:tcW w:w="3093" w:type="dxa"/>
          </w:tcPr>
          <w:p w14:paraId="64EDECA6" w14:textId="77777777" w:rsidR="00305BCD" w:rsidRDefault="00305BCD" w:rsidP="00A10383">
            <w:r>
              <w:t xml:space="preserve">VITRAKVI as monotherapy is indicated for the treatment of adult and paediatric patients with solid tumours that display a Neurotrophic Tyrosine Receptor Kinase (NTRK) gene fusion, Assessment report </w:t>
            </w:r>
          </w:p>
          <w:p w14:paraId="169C9026" w14:textId="77777777" w:rsidR="00305BCD" w:rsidRDefault="00305BCD" w:rsidP="00A10383">
            <w:r>
              <w:t xml:space="preserve">- who have a disease that is locally advanced, metastatic or where surgical resection is likely to result in severe morbidity, and </w:t>
            </w:r>
          </w:p>
          <w:p w14:paraId="0F52AE3E" w14:textId="77777777" w:rsidR="00305BCD" w:rsidRDefault="00305BCD" w:rsidP="00C1651F">
            <w:r>
              <w:t>- who have no satisfactory treatment options</w:t>
            </w:r>
          </w:p>
        </w:tc>
        <w:tc>
          <w:tcPr>
            <w:tcW w:w="3926" w:type="dxa"/>
          </w:tcPr>
          <w:p w14:paraId="71F328FB" w14:textId="77777777" w:rsidR="00305BCD" w:rsidRDefault="00305BCD" w:rsidP="00C1651F">
            <w:r>
              <w:t>LOXO-TRK-14001 Phase I Pivotal: Primary were all safety so N/A</w:t>
            </w:r>
          </w:p>
          <w:p w14:paraId="187828AF" w14:textId="77777777" w:rsidR="00305BCD" w:rsidRDefault="00305BCD" w:rsidP="00C1651F"/>
          <w:p w14:paraId="54BD9305" w14:textId="77777777" w:rsidR="00305BCD" w:rsidRDefault="00305BCD" w:rsidP="00C1651F">
            <w:r>
              <w:t>LOXO-TRK-15002 Phase II Pivotal: The primary objective of the study was to determine the overall response rate (ORR) by independent radiology review (IRC)</w:t>
            </w:r>
          </w:p>
          <w:p w14:paraId="07BE11AB" w14:textId="77777777" w:rsidR="00305BCD" w:rsidRDefault="00305BCD" w:rsidP="00C1651F"/>
          <w:p w14:paraId="21B88159" w14:textId="77777777" w:rsidR="00305BCD" w:rsidRDefault="00305BCD" w:rsidP="00C1651F">
            <w:r>
              <w:t>LOXO-TRK-15003 Phase I/II Pivotal: ORR</w:t>
            </w:r>
          </w:p>
          <w:p w14:paraId="3E46FDF6" w14:textId="77777777" w:rsidR="00305BCD" w:rsidRDefault="00305BCD" w:rsidP="00C1651F"/>
          <w:p w14:paraId="44899CE9" w14:textId="77777777" w:rsidR="00305BCD" w:rsidRDefault="00305BCD" w:rsidP="00A10383">
            <w:r>
              <w:t>Supportive data provided</w:t>
            </w:r>
          </w:p>
        </w:tc>
        <w:tc>
          <w:tcPr>
            <w:tcW w:w="1932" w:type="dxa"/>
          </w:tcPr>
          <w:p w14:paraId="6E55689D" w14:textId="77777777" w:rsidR="00305BCD" w:rsidRDefault="00305BCD" w:rsidP="00C1651F">
            <w:r>
              <w:t>Yes:</w:t>
            </w:r>
          </w:p>
          <w:p w14:paraId="5D9B444C" w14:textId="77777777" w:rsidR="00305BCD" w:rsidRDefault="00305BCD" w:rsidP="00C1651F"/>
          <w:p w14:paraId="2897FBCA" w14:textId="77777777" w:rsidR="00305BCD" w:rsidRDefault="00305BCD" w:rsidP="00C1651F">
            <w:r>
              <w:t>Overall response rate (pivotal)</w:t>
            </w:r>
          </w:p>
        </w:tc>
      </w:tr>
      <w:tr w:rsidR="00305BCD" w14:paraId="3D4F7047" w14:textId="77777777" w:rsidTr="009C0297">
        <w:tc>
          <w:tcPr>
            <w:tcW w:w="2673" w:type="dxa"/>
          </w:tcPr>
          <w:p w14:paraId="38251C14" w14:textId="77777777" w:rsidR="00305BCD" w:rsidRDefault="00305BCD" w:rsidP="00C1651F">
            <w:pPr>
              <w:rPr>
                <w:rStyle w:val="Emphasis"/>
                <w:rFonts w:cstheme="minorHAnsi"/>
                <w:b/>
                <w:i w:val="0"/>
                <w:color w:val="000000"/>
              </w:rPr>
            </w:pPr>
            <w:r>
              <w:rPr>
                <w:rStyle w:val="Emphasis"/>
                <w:rFonts w:cstheme="minorHAnsi"/>
                <w:b/>
                <w:i w:val="0"/>
                <w:color w:val="000000"/>
              </w:rPr>
              <w:lastRenderedPageBreak/>
              <w:t>lorlatinib</w:t>
            </w:r>
          </w:p>
          <w:p w14:paraId="02B306D5" w14:textId="77777777" w:rsidR="00305BCD" w:rsidRDefault="00305BCD" w:rsidP="00C1651F">
            <w:pPr>
              <w:rPr>
                <w:rStyle w:val="Emphasis"/>
                <w:rFonts w:cstheme="minorHAnsi"/>
                <w:b/>
                <w:i w:val="0"/>
                <w:color w:val="000000"/>
              </w:rPr>
            </w:pPr>
          </w:p>
          <w:p w14:paraId="2919CB82" w14:textId="77777777" w:rsidR="00305BCD" w:rsidRDefault="00305BCD" w:rsidP="00C1651F">
            <w:pPr>
              <w:rPr>
                <w:rStyle w:val="Emphasis"/>
                <w:rFonts w:cstheme="minorHAnsi"/>
                <w:i w:val="0"/>
                <w:color w:val="000000"/>
              </w:rPr>
            </w:pPr>
            <w:r>
              <w:rPr>
                <w:rStyle w:val="Emphasis"/>
                <w:rFonts w:cstheme="minorHAnsi"/>
                <w:i w:val="0"/>
                <w:color w:val="000000"/>
              </w:rPr>
              <w:t>Lorviqua</w:t>
            </w:r>
          </w:p>
          <w:p w14:paraId="5DA1018F" w14:textId="77777777" w:rsidR="00305BCD" w:rsidRDefault="00305BCD" w:rsidP="00C1651F">
            <w:pPr>
              <w:rPr>
                <w:rStyle w:val="Emphasis"/>
                <w:rFonts w:cstheme="minorHAnsi"/>
                <w:i w:val="0"/>
                <w:color w:val="000000"/>
              </w:rPr>
            </w:pPr>
          </w:p>
          <w:p w14:paraId="04C5B8CC" w14:textId="77777777" w:rsidR="00305BCD" w:rsidRDefault="00305BCD" w:rsidP="00C1651F">
            <w:pPr>
              <w:rPr>
                <w:rStyle w:val="Emphasis"/>
                <w:rFonts w:cstheme="minorHAnsi"/>
                <w:i w:val="0"/>
                <w:color w:val="000000"/>
              </w:rPr>
            </w:pPr>
            <w:r>
              <w:rPr>
                <w:rStyle w:val="Emphasis"/>
                <w:rFonts w:cstheme="minorHAnsi"/>
                <w:i w:val="0"/>
                <w:color w:val="000000"/>
              </w:rPr>
              <w:t>CMA 06/05/19</w:t>
            </w:r>
          </w:p>
          <w:p w14:paraId="304F2887" w14:textId="77777777" w:rsidR="00305BCD" w:rsidRDefault="00305BCD" w:rsidP="00C1651F">
            <w:pPr>
              <w:rPr>
                <w:rStyle w:val="Emphasis"/>
                <w:rFonts w:cstheme="minorHAnsi"/>
                <w:i w:val="0"/>
                <w:color w:val="000000"/>
              </w:rPr>
            </w:pPr>
          </w:p>
          <w:p w14:paraId="67D28248" w14:textId="77777777" w:rsidR="00305BCD" w:rsidRPr="00A10383" w:rsidRDefault="00305BCD" w:rsidP="00C1651F">
            <w:pPr>
              <w:rPr>
                <w:rStyle w:val="Emphasis"/>
                <w:rFonts w:cstheme="minorHAnsi"/>
                <w:i w:val="0"/>
                <w:color w:val="000000"/>
              </w:rPr>
            </w:pPr>
            <w:r>
              <w:t>EMA/CHMP/182840/2019</w:t>
            </w:r>
          </w:p>
        </w:tc>
        <w:tc>
          <w:tcPr>
            <w:tcW w:w="3093" w:type="dxa"/>
          </w:tcPr>
          <w:p w14:paraId="11DCE9B0" w14:textId="77777777" w:rsidR="00305BCD" w:rsidRDefault="00305BCD" w:rsidP="00C1651F">
            <w:r>
              <w:t xml:space="preserve">Lorlatinib as monotherapy is indicated for the treatment of adult patients with anaplastic lymphoma kinase (ALK) positive advanced non small cell lung cancer (NSCLC) whose disease has progressed after: </w:t>
            </w:r>
          </w:p>
          <w:p w14:paraId="62FDBD22" w14:textId="77777777" w:rsidR="00305BCD" w:rsidRDefault="00305BCD" w:rsidP="00A10383">
            <w:r>
              <w:t xml:space="preserve">• alectinib or ceritinib as the first ALK tyrosine kinase inhibitor (TKI) therapy; or </w:t>
            </w:r>
          </w:p>
          <w:p w14:paraId="3B4DA408" w14:textId="77777777" w:rsidR="00305BCD" w:rsidRDefault="00305BCD" w:rsidP="00A10383">
            <w:r>
              <w:t>• crizotinib and at least one other ALK TKI</w:t>
            </w:r>
          </w:p>
        </w:tc>
        <w:tc>
          <w:tcPr>
            <w:tcW w:w="3926" w:type="dxa"/>
          </w:tcPr>
          <w:p w14:paraId="2C9AA937" w14:textId="77777777" w:rsidR="00305BCD" w:rsidRDefault="00305BCD" w:rsidP="00C1651F">
            <w:r>
              <w:t xml:space="preserve">PF-06463922 Phase II Pivotal: Primary endpoints: </w:t>
            </w:r>
            <w:r>
              <w:sym w:font="Symbol" w:char="F0B7"/>
            </w:r>
            <w:r>
              <w:t xml:space="preserve"> ORR was defined as the percent of patients with Best Overall Response (BOR) of confirmed Complete Response (CR) or confirmed Partial Response (PR) according to RECIST version 1.1. Confirmed responses were those that persisted on repeat imaging at least 4 weeks after the initial documentation of response. </w:t>
            </w:r>
            <w:r>
              <w:sym w:font="Symbol" w:char="F0B7"/>
            </w:r>
            <w:r>
              <w:t xml:space="preserve"> Intracranial ORR (IC ORR) was defined as the percent of patients with CNS metastases at study entry with Best Overall Intracranial Response of confirmed CR or confirmed PR (considering only the lesions having brain as the disease site).</w:t>
            </w:r>
          </w:p>
          <w:p w14:paraId="445A6272" w14:textId="77777777" w:rsidR="00305BCD" w:rsidRDefault="00305BCD" w:rsidP="00C1651F"/>
          <w:p w14:paraId="5A7F837B" w14:textId="77777777" w:rsidR="00305BCD" w:rsidRDefault="00305BCD" w:rsidP="00C1651F">
            <w:r>
              <w:t>B7461001 Phase I Supportive: Overall response rate</w:t>
            </w:r>
          </w:p>
        </w:tc>
        <w:tc>
          <w:tcPr>
            <w:tcW w:w="1932" w:type="dxa"/>
          </w:tcPr>
          <w:p w14:paraId="68E3FE3E" w14:textId="77777777" w:rsidR="00305BCD" w:rsidRDefault="00305BCD" w:rsidP="00C1651F">
            <w:r>
              <w:t>Yes:</w:t>
            </w:r>
          </w:p>
          <w:p w14:paraId="0D9D7455" w14:textId="77777777" w:rsidR="00305BCD" w:rsidRDefault="00305BCD" w:rsidP="00C1651F"/>
          <w:p w14:paraId="6C849241" w14:textId="77777777" w:rsidR="00305BCD" w:rsidRDefault="00305BCD" w:rsidP="00C1651F">
            <w:r>
              <w:t>Overall response rate (pivotal)</w:t>
            </w:r>
          </w:p>
          <w:p w14:paraId="34EBBC5A" w14:textId="77777777" w:rsidR="00305BCD" w:rsidRDefault="00305BCD" w:rsidP="00C1651F"/>
          <w:p w14:paraId="52A5A289" w14:textId="77777777" w:rsidR="00305BCD" w:rsidRDefault="00305BCD" w:rsidP="00C1651F"/>
          <w:p w14:paraId="37593371" w14:textId="77777777" w:rsidR="00305BCD" w:rsidRDefault="00305BCD" w:rsidP="00C1651F"/>
          <w:p w14:paraId="74174F70" w14:textId="77777777" w:rsidR="00305BCD" w:rsidRDefault="00305BCD" w:rsidP="00C1651F"/>
        </w:tc>
      </w:tr>
      <w:tr w:rsidR="00305BCD" w14:paraId="569CFA42" w14:textId="77777777" w:rsidTr="009C0297">
        <w:tc>
          <w:tcPr>
            <w:tcW w:w="2673" w:type="dxa"/>
          </w:tcPr>
          <w:p w14:paraId="2B931F8C" w14:textId="77777777" w:rsidR="00305BCD" w:rsidRDefault="00305BCD" w:rsidP="00C1651F">
            <w:pPr>
              <w:rPr>
                <w:rStyle w:val="Emphasis"/>
                <w:rFonts w:cstheme="minorHAnsi"/>
                <w:b/>
                <w:i w:val="0"/>
                <w:color w:val="000000"/>
              </w:rPr>
            </w:pPr>
            <w:r w:rsidRPr="007356D9">
              <w:rPr>
                <w:rStyle w:val="Emphasis"/>
                <w:rFonts w:cstheme="minorHAnsi"/>
                <w:b/>
                <w:i w:val="0"/>
                <w:color w:val="000000"/>
              </w:rPr>
              <w:t>onasemnogene abeparvovec</w:t>
            </w:r>
          </w:p>
          <w:p w14:paraId="462E09D6" w14:textId="77777777" w:rsidR="00305BCD" w:rsidRDefault="00305BCD" w:rsidP="00C1651F">
            <w:pPr>
              <w:rPr>
                <w:rStyle w:val="Emphasis"/>
                <w:rFonts w:cstheme="minorHAnsi"/>
                <w:b/>
                <w:i w:val="0"/>
                <w:color w:val="000000"/>
              </w:rPr>
            </w:pPr>
          </w:p>
          <w:p w14:paraId="6F3C379F" w14:textId="77777777" w:rsidR="00305BCD" w:rsidRDefault="00305BCD" w:rsidP="00C1651F">
            <w:pPr>
              <w:rPr>
                <w:rStyle w:val="Emphasis"/>
                <w:rFonts w:cstheme="minorHAnsi"/>
                <w:i w:val="0"/>
                <w:color w:val="000000"/>
              </w:rPr>
            </w:pPr>
            <w:r>
              <w:rPr>
                <w:rStyle w:val="Emphasis"/>
                <w:rFonts w:cstheme="minorHAnsi"/>
                <w:i w:val="0"/>
                <w:color w:val="000000"/>
              </w:rPr>
              <w:t>Zolgensma</w:t>
            </w:r>
          </w:p>
          <w:p w14:paraId="742EC9A4" w14:textId="77777777" w:rsidR="00305BCD" w:rsidRDefault="00305BCD" w:rsidP="00C1651F">
            <w:pPr>
              <w:rPr>
                <w:rStyle w:val="Emphasis"/>
                <w:rFonts w:cstheme="minorHAnsi"/>
                <w:i w:val="0"/>
                <w:color w:val="000000"/>
              </w:rPr>
            </w:pPr>
          </w:p>
          <w:p w14:paraId="41FA9496" w14:textId="77777777" w:rsidR="00305BCD" w:rsidRDefault="00305BCD" w:rsidP="00C1651F">
            <w:pPr>
              <w:rPr>
                <w:rStyle w:val="Emphasis"/>
                <w:rFonts w:cstheme="minorHAnsi"/>
                <w:i w:val="0"/>
                <w:color w:val="000000"/>
              </w:rPr>
            </w:pPr>
            <w:r>
              <w:rPr>
                <w:rStyle w:val="Emphasis"/>
                <w:rFonts w:cstheme="minorHAnsi"/>
                <w:i w:val="0"/>
                <w:color w:val="000000"/>
              </w:rPr>
              <w:t>CMA 18/05/20</w:t>
            </w:r>
          </w:p>
          <w:p w14:paraId="452309A5" w14:textId="77777777" w:rsidR="00305BCD" w:rsidRDefault="00305BCD" w:rsidP="00C1651F">
            <w:pPr>
              <w:rPr>
                <w:rStyle w:val="Emphasis"/>
                <w:rFonts w:cstheme="minorHAnsi"/>
                <w:i w:val="0"/>
                <w:color w:val="000000"/>
              </w:rPr>
            </w:pPr>
          </w:p>
          <w:p w14:paraId="6C35DFE5" w14:textId="77777777" w:rsidR="00305BCD" w:rsidRPr="00A10383" w:rsidRDefault="00305BCD" w:rsidP="00C1651F">
            <w:pPr>
              <w:rPr>
                <w:rStyle w:val="Emphasis"/>
                <w:rFonts w:cstheme="minorHAnsi"/>
                <w:i w:val="0"/>
                <w:color w:val="000000"/>
              </w:rPr>
            </w:pPr>
            <w:r>
              <w:t>EMA/200482/2020</w:t>
            </w:r>
          </w:p>
        </w:tc>
        <w:tc>
          <w:tcPr>
            <w:tcW w:w="3093" w:type="dxa"/>
          </w:tcPr>
          <w:p w14:paraId="69DB560A" w14:textId="77777777" w:rsidR="00305BCD" w:rsidRDefault="00305BCD" w:rsidP="00A10383">
            <w:r>
              <w:t>[T]reatment of patients with 5q spinal muscular atrophy with a bi-allelic mutation in the SMN1 gene and either a clinical diagnosis of type 1 SMA or up to 3 copies of the SMN2 gene.</w:t>
            </w:r>
          </w:p>
        </w:tc>
        <w:tc>
          <w:tcPr>
            <w:tcW w:w="3926" w:type="dxa"/>
          </w:tcPr>
          <w:p w14:paraId="1E80B598" w14:textId="77777777" w:rsidR="00305BCD" w:rsidRDefault="00305BCD" w:rsidP="00C1651F">
            <w:r>
              <w:t>CL-303 Phase III Pivotal: Proportion of patients that achieve functional independent sitting for at least 30 seconds at the 18 months of age study visit. It is defined by the Bayley Scales of Infant and Toddler Development (Version 3), confirmed by video recording, as a patient who sits up straight with head erect for at least 30 seconds. • Survival at 14 months of age (see study CL-101).</w:t>
            </w:r>
          </w:p>
          <w:p w14:paraId="4AC35AA4" w14:textId="77777777" w:rsidR="00305BCD" w:rsidRDefault="00305BCD" w:rsidP="00C1651F"/>
          <w:p w14:paraId="437917ED" w14:textId="77777777" w:rsidR="00305BCD" w:rsidRDefault="00305BCD" w:rsidP="00C1651F">
            <w:r>
              <w:t>CL-101 Phase I Supportive: Primary endpoint was survival (time from birth to either death or permanent ventilation)</w:t>
            </w:r>
          </w:p>
          <w:p w14:paraId="1797AA7A" w14:textId="77777777" w:rsidR="00305BCD" w:rsidRDefault="00305BCD" w:rsidP="00C1651F"/>
          <w:p w14:paraId="3073D9D2" w14:textId="77777777" w:rsidR="00305BCD" w:rsidRDefault="00305BCD" w:rsidP="00C1651F">
            <w:r>
              <w:t>CL-302 Phase 3 Supportive: Ongoing; Determine efficacy by demonstrating achievement of developmental milestone of sitting without support for 10 seconds up to 18 months of age as defined by WHO Motor Developmental Milestones.</w:t>
            </w:r>
          </w:p>
          <w:p w14:paraId="67781C69" w14:textId="77777777" w:rsidR="00305BCD" w:rsidRDefault="00305BCD" w:rsidP="00C1651F"/>
          <w:p w14:paraId="05E6E128" w14:textId="77777777" w:rsidR="00305BCD" w:rsidRDefault="00305BCD" w:rsidP="007356D9">
            <w:r>
              <w:t>CL-304 Phase 3 Supportive: Ongoing; The endpoints per cohort are: Cohort 1 (2 SMN2 copies): proportion of patients achieving milestone of independent sitting for at least 30 seconds at any visit up to 18 months of age. Cohort 2 (3 SMN2 copies): proportion of patients achieving the ability to stand without support for at least 3 seconds at any visit up to 24 months of age.</w:t>
            </w:r>
          </w:p>
        </w:tc>
        <w:tc>
          <w:tcPr>
            <w:tcW w:w="1932" w:type="dxa"/>
          </w:tcPr>
          <w:p w14:paraId="05587C6C" w14:textId="77777777" w:rsidR="00305BCD" w:rsidRDefault="00305BCD" w:rsidP="00C1651F">
            <w:r>
              <w:t>Yes:</w:t>
            </w:r>
          </w:p>
          <w:p w14:paraId="2EA9FA40" w14:textId="77777777" w:rsidR="00305BCD" w:rsidRDefault="00305BCD" w:rsidP="00C1651F"/>
          <w:p w14:paraId="49F239DF" w14:textId="77777777" w:rsidR="00305BCD" w:rsidRDefault="00305BCD" w:rsidP="00C1651F">
            <w:r>
              <w:t>Independent sitting (pivotal)</w:t>
            </w:r>
          </w:p>
          <w:p w14:paraId="6CA30AEF" w14:textId="77777777" w:rsidR="00305BCD" w:rsidRDefault="00305BCD" w:rsidP="00C1651F"/>
          <w:p w14:paraId="45E75461" w14:textId="77777777" w:rsidR="00305BCD" w:rsidRDefault="00305BCD" w:rsidP="00C1651F">
            <w:r>
              <w:t>Stand without support</w:t>
            </w:r>
          </w:p>
        </w:tc>
      </w:tr>
      <w:tr w:rsidR="00305BCD" w14:paraId="0356567E" w14:textId="77777777" w:rsidTr="009C0297">
        <w:tc>
          <w:tcPr>
            <w:tcW w:w="2673" w:type="dxa"/>
          </w:tcPr>
          <w:p w14:paraId="5F399AD4" w14:textId="77777777" w:rsidR="00305BCD" w:rsidRDefault="00305BCD" w:rsidP="00C1651F">
            <w:pPr>
              <w:rPr>
                <w:rStyle w:val="Emphasis"/>
                <w:rFonts w:cstheme="minorHAnsi"/>
                <w:b/>
                <w:i w:val="0"/>
                <w:color w:val="000000"/>
              </w:rPr>
            </w:pPr>
            <w:r>
              <w:rPr>
                <w:rStyle w:val="Emphasis"/>
                <w:rFonts w:cstheme="minorHAnsi"/>
                <w:b/>
                <w:i w:val="0"/>
                <w:color w:val="000000"/>
              </w:rPr>
              <w:t>pretomanid</w:t>
            </w:r>
          </w:p>
          <w:p w14:paraId="3FF5A396" w14:textId="77777777" w:rsidR="00305BCD" w:rsidRDefault="00305BCD" w:rsidP="00C1651F">
            <w:pPr>
              <w:rPr>
                <w:rStyle w:val="Emphasis"/>
                <w:rFonts w:cstheme="minorHAnsi"/>
                <w:b/>
                <w:i w:val="0"/>
                <w:color w:val="000000"/>
              </w:rPr>
            </w:pPr>
          </w:p>
          <w:p w14:paraId="4D9192E6" w14:textId="77777777" w:rsidR="00305BCD" w:rsidRDefault="00305BCD" w:rsidP="00C1651F">
            <w:pPr>
              <w:rPr>
                <w:rStyle w:val="Emphasis"/>
                <w:rFonts w:cstheme="minorHAnsi"/>
                <w:i w:val="0"/>
                <w:color w:val="000000"/>
              </w:rPr>
            </w:pPr>
            <w:r>
              <w:rPr>
                <w:rStyle w:val="Emphasis"/>
                <w:rFonts w:cstheme="minorHAnsi"/>
                <w:i w:val="0"/>
                <w:color w:val="000000"/>
              </w:rPr>
              <w:t>Dovprela</w:t>
            </w:r>
          </w:p>
          <w:p w14:paraId="64BD607D" w14:textId="77777777" w:rsidR="00305BCD" w:rsidRDefault="00305BCD" w:rsidP="00C1651F">
            <w:pPr>
              <w:rPr>
                <w:rStyle w:val="Emphasis"/>
                <w:rFonts w:cstheme="minorHAnsi"/>
                <w:i w:val="0"/>
                <w:color w:val="000000"/>
              </w:rPr>
            </w:pPr>
          </w:p>
          <w:p w14:paraId="502B7A92" w14:textId="77777777" w:rsidR="00305BCD" w:rsidRDefault="00305BCD" w:rsidP="00C1651F">
            <w:pPr>
              <w:rPr>
                <w:rStyle w:val="Emphasis"/>
                <w:rFonts w:cstheme="minorHAnsi"/>
                <w:i w:val="0"/>
                <w:color w:val="000000"/>
              </w:rPr>
            </w:pPr>
            <w:r>
              <w:rPr>
                <w:rStyle w:val="Emphasis"/>
                <w:rFonts w:cstheme="minorHAnsi"/>
                <w:i w:val="0"/>
                <w:color w:val="000000"/>
              </w:rPr>
              <w:t>CMA 31/07/20</w:t>
            </w:r>
          </w:p>
          <w:p w14:paraId="2F0A00BE" w14:textId="77777777" w:rsidR="00305BCD" w:rsidRDefault="00305BCD" w:rsidP="00C1651F">
            <w:pPr>
              <w:rPr>
                <w:rStyle w:val="Emphasis"/>
                <w:rFonts w:cstheme="minorHAnsi"/>
                <w:i w:val="0"/>
                <w:color w:val="000000"/>
              </w:rPr>
            </w:pPr>
          </w:p>
          <w:p w14:paraId="2DCB3A5D" w14:textId="77777777" w:rsidR="00305BCD" w:rsidRPr="007356D9" w:rsidRDefault="00305BCD" w:rsidP="00C1651F">
            <w:pPr>
              <w:rPr>
                <w:rStyle w:val="Emphasis"/>
                <w:rFonts w:cstheme="minorHAnsi"/>
                <w:i w:val="0"/>
                <w:color w:val="000000"/>
              </w:rPr>
            </w:pPr>
            <w:r>
              <w:t>EMA/200048/2020</w:t>
            </w:r>
          </w:p>
        </w:tc>
        <w:tc>
          <w:tcPr>
            <w:tcW w:w="3093" w:type="dxa"/>
          </w:tcPr>
          <w:p w14:paraId="688AC43F" w14:textId="77777777" w:rsidR="00305BCD" w:rsidRDefault="00305BCD" w:rsidP="007356D9">
            <w:r>
              <w:lastRenderedPageBreak/>
              <w:t xml:space="preserve">[T]reatment of pulmonary extensively drug resistant (XDR), or treatment-intolerant </w:t>
            </w:r>
            <w:r>
              <w:lastRenderedPageBreak/>
              <w:t>or nonresponsive multidrugresistant (MDR) tuberculosis (TB)</w:t>
            </w:r>
          </w:p>
        </w:tc>
        <w:tc>
          <w:tcPr>
            <w:tcW w:w="3926" w:type="dxa"/>
          </w:tcPr>
          <w:p w14:paraId="2E978326" w14:textId="77777777" w:rsidR="00305BCD" w:rsidRDefault="009B135D" w:rsidP="007356D9">
            <w:r>
              <w:lastRenderedPageBreak/>
              <w:t xml:space="preserve">Nix-TB Phase III Pivotal: Primary endpoint is unfavourable rate (Incidence of bacteriologic failure or relapse or clinical </w:t>
            </w:r>
            <w:r>
              <w:lastRenderedPageBreak/>
              <w:t>failure through follow up until 6 months after the end of treatment.)</w:t>
            </w:r>
          </w:p>
          <w:p w14:paraId="058F0F9E" w14:textId="77777777" w:rsidR="009B135D" w:rsidRDefault="009B135D" w:rsidP="007356D9"/>
          <w:p w14:paraId="5C56C676" w14:textId="77777777" w:rsidR="009B135D" w:rsidRDefault="009B135D" w:rsidP="007356D9">
            <w:r>
              <w:t>NC-006 Phase II Supportive: The primary efficacy endpoint was the incidence of bacteriologic failure or relapse or clinical failure within 12 months from start of therapy in the DS TB group (non-inferiority to control, with an NI margin of 12%).</w:t>
            </w:r>
          </w:p>
          <w:p w14:paraId="08088133" w14:textId="77777777" w:rsidR="009B135D" w:rsidRDefault="009B135D" w:rsidP="007356D9"/>
          <w:p w14:paraId="49513D52" w14:textId="77777777" w:rsidR="009B135D" w:rsidRDefault="009B135D" w:rsidP="007356D9">
            <w:r>
              <w:t>ZeNix Phase III Supportive: Ongoing</w:t>
            </w:r>
          </w:p>
        </w:tc>
        <w:tc>
          <w:tcPr>
            <w:tcW w:w="1932" w:type="dxa"/>
          </w:tcPr>
          <w:p w14:paraId="4CAA4AAE" w14:textId="77777777" w:rsidR="00305BCD" w:rsidRDefault="009B135D" w:rsidP="00C1651F">
            <w:r>
              <w:lastRenderedPageBreak/>
              <w:t>Yes:</w:t>
            </w:r>
          </w:p>
          <w:p w14:paraId="3BFFD186" w14:textId="77777777" w:rsidR="009B135D" w:rsidRDefault="009B135D" w:rsidP="00C1651F"/>
          <w:p w14:paraId="6015D320" w14:textId="77777777" w:rsidR="009B135D" w:rsidRDefault="009B135D" w:rsidP="00C1651F">
            <w:r>
              <w:lastRenderedPageBreak/>
              <w:t xml:space="preserve">Incidence of </w:t>
            </w:r>
            <w:r w:rsidR="007F623C">
              <w:t>bacteriologic failure/relapse or</w:t>
            </w:r>
            <w:r>
              <w:t xml:space="preserve"> clinical failure in 6 months (pivotal)</w:t>
            </w:r>
          </w:p>
          <w:p w14:paraId="40515D79" w14:textId="77777777" w:rsidR="009B135D" w:rsidRDefault="009B135D" w:rsidP="00C1651F"/>
          <w:p w14:paraId="0C7BC58C" w14:textId="77777777" w:rsidR="009B135D" w:rsidRDefault="009B135D" w:rsidP="00C1651F">
            <w:r>
              <w:t>Same as above in 12 months</w:t>
            </w:r>
          </w:p>
        </w:tc>
      </w:tr>
      <w:tr w:rsidR="00305BCD" w14:paraId="2B902B83" w14:textId="77777777" w:rsidTr="009C0297">
        <w:tc>
          <w:tcPr>
            <w:tcW w:w="2673" w:type="dxa"/>
          </w:tcPr>
          <w:p w14:paraId="2240CFF4" w14:textId="77777777" w:rsidR="00305BCD" w:rsidRDefault="00305BCD" w:rsidP="00C1651F">
            <w:pPr>
              <w:rPr>
                <w:rStyle w:val="Emphasis"/>
                <w:rFonts w:cstheme="minorHAnsi"/>
                <w:b/>
                <w:i w:val="0"/>
                <w:color w:val="000000"/>
              </w:rPr>
            </w:pPr>
            <w:r>
              <w:rPr>
                <w:rStyle w:val="Emphasis"/>
                <w:rFonts w:cstheme="minorHAnsi"/>
                <w:b/>
                <w:i w:val="0"/>
                <w:color w:val="000000"/>
              </w:rPr>
              <w:lastRenderedPageBreak/>
              <w:t>selpercatinib</w:t>
            </w:r>
          </w:p>
          <w:p w14:paraId="2B76959D" w14:textId="77777777" w:rsidR="00305BCD" w:rsidRDefault="00305BCD" w:rsidP="00C1651F">
            <w:pPr>
              <w:rPr>
                <w:rStyle w:val="Emphasis"/>
                <w:rFonts w:cstheme="minorHAnsi"/>
                <w:b/>
                <w:i w:val="0"/>
                <w:color w:val="000000"/>
              </w:rPr>
            </w:pPr>
          </w:p>
          <w:p w14:paraId="7F5676EE" w14:textId="77777777" w:rsidR="00305BCD" w:rsidRDefault="00305BCD" w:rsidP="00C1651F">
            <w:pPr>
              <w:rPr>
                <w:rStyle w:val="Emphasis"/>
                <w:rFonts w:cstheme="minorHAnsi"/>
                <w:i w:val="0"/>
                <w:color w:val="000000"/>
              </w:rPr>
            </w:pPr>
            <w:r>
              <w:rPr>
                <w:rStyle w:val="Emphasis"/>
                <w:rFonts w:cstheme="minorHAnsi"/>
                <w:i w:val="0"/>
                <w:color w:val="000000"/>
              </w:rPr>
              <w:t>Retsevmo</w:t>
            </w:r>
          </w:p>
          <w:p w14:paraId="331D92EE" w14:textId="77777777" w:rsidR="00305BCD" w:rsidRDefault="00305BCD" w:rsidP="00C1651F">
            <w:pPr>
              <w:rPr>
                <w:rStyle w:val="Emphasis"/>
                <w:rFonts w:cstheme="minorHAnsi"/>
                <w:i w:val="0"/>
                <w:color w:val="000000"/>
              </w:rPr>
            </w:pPr>
          </w:p>
          <w:p w14:paraId="109A81B7" w14:textId="77777777" w:rsidR="00305BCD" w:rsidRDefault="00305BCD" w:rsidP="00C1651F">
            <w:pPr>
              <w:rPr>
                <w:rStyle w:val="Emphasis"/>
                <w:rFonts w:cstheme="minorHAnsi"/>
                <w:i w:val="0"/>
                <w:color w:val="000000"/>
              </w:rPr>
            </w:pPr>
            <w:r>
              <w:rPr>
                <w:rStyle w:val="Emphasis"/>
                <w:rFonts w:cstheme="minorHAnsi"/>
                <w:i w:val="0"/>
                <w:color w:val="000000"/>
              </w:rPr>
              <w:t>CMA 11/02/21</w:t>
            </w:r>
          </w:p>
          <w:p w14:paraId="126F0760" w14:textId="77777777" w:rsidR="00305BCD" w:rsidRDefault="00305BCD" w:rsidP="00C1651F">
            <w:pPr>
              <w:rPr>
                <w:rStyle w:val="Emphasis"/>
                <w:rFonts w:cstheme="minorHAnsi"/>
                <w:i w:val="0"/>
                <w:color w:val="000000"/>
              </w:rPr>
            </w:pPr>
          </w:p>
          <w:p w14:paraId="487AA2B3" w14:textId="77777777" w:rsidR="00305BCD" w:rsidRPr="007356D9" w:rsidRDefault="00305BCD" w:rsidP="00C1651F">
            <w:pPr>
              <w:rPr>
                <w:rStyle w:val="Emphasis"/>
                <w:rFonts w:cstheme="minorHAnsi"/>
                <w:i w:val="0"/>
                <w:color w:val="000000"/>
              </w:rPr>
            </w:pPr>
            <w:r>
              <w:t>EMA/9037/2021</w:t>
            </w:r>
          </w:p>
        </w:tc>
        <w:tc>
          <w:tcPr>
            <w:tcW w:w="3093" w:type="dxa"/>
          </w:tcPr>
          <w:p w14:paraId="23C0890B" w14:textId="77777777" w:rsidR="00305BCD" w:rsidRDefault="00305BCD" w:rsidP="00C1651F">
            <w:r>
              <w:t xml:space="preserve">Retsevmo as monotherapy is indicated for the treatment of adults with: </w:t>
            </w:r>
          </w:p>
          <w:p w14:paraId="2C562092" w14:textId="77777777" w:rsidR="00305BCD" w:rsidRDefault="00305BCD" w:rsidP="00C1651F">
            <w:r>
              <w:t xml:space="preserve">– advanced RET fusion positive non small cell lung cancer (NSCLC) who require systemic therapy following prior treatment with immunotherapy and/or platinum-based chemotherapy </w:t>
            </w:r>
          </w:p>
          <w:p w14:paraId="7F2C5601" w14:textId="77777777" w:rsidR="00305BCD" w:rsidRDefault="00305BCD" w:rsidP="00C1651F">
            <w:r>
              <w:t xml:space="preserve">– advanced RET fusion positive thyroid cancer who require systemic therapy following prior treatment with sorafenib and/or lenvatinib. </w:t>
            </w:r>
          </w:p>
          <w:p w14:paraId="62EC63D1" w14:textId="77777777" w:rsidR="00305BCD" w:rsidRDefault="00305BCD" w:rsidP="00C1651F"/>
          <w:p w14:paraId="21BE21B8" w14:textId="77777777" w:rsidR="00305BCD" w:rsidRDefault="00305BCD" w:rsidP="00C1651F">
            <w:r>
              <w:t>Retsevmo as monotherapy is indicated for the treatment of adults and adolescents 12 years and older with advanced RET mutant medullary thyroid cancer (MTC) who require systemic therapy following prior treatment with cabozantinib and/or vandetanib.</w:t>
            </w:r>
          </w:p>
        </w:tc>
        <w:tc>
          <w:tcPr>
            <w:tcW w:w="3926" w:type="dxa"/>
          </w:tcPr>
          <w:p w14:paraId="16204CB0" w14:textId="77777777" w:rsidR="00305BCD" w:rsidRDefault="00305BCD" w:rsidP="00C1651F">
            <w:r>
              <w:t>LOXO-RET-17001 Phase I/II Pivotal: Objective response rate (ORR) by IRC assessment. ORR was defined as the proportion of patients with BOR of confirmed CR or confirmed PR based on RECIST v1.1. BOR was defined as the best response designation for each patient recorded between the date of the first dose of selpercatinib and the data cut-off of 17 June 2019, or the date of documented disease progression per RECIST v1.1 or the date of subsequent therapy or cancer-related surgery.</w:t>
            </w:r>
          </w:p>
        </w:tc>
        <w:tc>
          <w:tcPr>
            <w:tcW w:w="1932" w:type="dxa"/>
          </w:tcPr>
          <w:p w14:paraId="702AC24B" w14:textId="77777777" w:rsidR="00305BCD" w:rsidRDefault="00305BCD" w:rsidP="00C1651F">
            <w:r>
              <w:t>Yes:</w:t>
            </w:r>
          </w:p>
          <w:p w14:paraId="336CA697" w14:textId="77777777" w:rsidR="00305BCD" w:rsidRDefault="00305BCD" w:rsidP="00C1651F"/>
          <w:p w14:paraId="6A3FC5B2" w14:textId="77777777" w:rsidR="00305BCD" w:rsidRDefault="00305BCD" w:rsidP="00C1651F">
            <w:r>
              <w:t>Objective response rate – assessed by IRC (pivotal)</w:t>
            </w:r>
          </w:p>
        </w:tc>
      </w:tr>
      <w:tr w:rsidR="00305BCD" w14:paraId="5EDA789A" w14:textId="77777777" w:rsidTr="009C0297">
        <w:tc>
          <w:tcPr>
            <w:tcW w:w="2673" w:type="dxa"/>
          </w:tcPr>
          <w:p w14:paraId="54E1FF01" w14:textId="77777777" w:rsidR="00305BCD" w:rsidRDefault="00305BCD" w:rsidP="00C1651F">
            <w:pPr>
              <w:rPr>
                <w:rStyle w:val="Emphasis"/>
                <w:rFonts w:cstheme="minorHAnsi"/>
                <w:b/>
                <w:i w:val="0"/>
                <w:color w:val="000000"/>
              </w:rPr>
            </w:pPr>
            <w:r>
              <w:rPr>
                <w:rStyle w:val="Emphasis"/>
                <w:rFonts w:cstheme="minorHAnsi"/>
                <w:b/>
                <w:i w:val="0"/>
                <w:color w:val="000000"/>
              </w:rPr>
              <w:t>belantamab mafotodin</w:t>
            </w:r>
          </w:p>
          <w:p w14:paraId="7D00AEF6" w14:textId="77777777" w:rsidR="00305BCD" w:rsidRDefault="00305BCD" w:rsidP="00C1651F">
            <w:pPr>
              <w:rPr>
                <w:rStyle w:val="Emphasis"/>
                <w:rFonts w:cstheme="minorHAnsi"/>
                <w:b/>
                <w:i w:val="0"/>
                <w:color w:val="000000"/>
              </w:rPr>
            </w:pPr>
          </w:p>
          <w:p w14:paraId="1E451F43" w14:textId="77777777" w:rsidR="00305BCD" w:rsidRDefault="00305BCD" w:rsidP="00C1651F">
            <w:pPr>
              <w:rPr>
                <w:rStyle w:val="Emphasis"/>
                <w:rFonts w:cstheme="minorHAnsi"/>
                <w:i w:val="0"/>
                <w:color w:val="000000"/>
              </w:rPr>
            </w:pPr>
            <w:r>
              <w:rPr>
                <w:rStyle w:val="Emphasis"/>
                <w:rFonts w:cstheme="minorHAnsi"/>
                <w:i w:val="0"/>
                <w:color w:val="000000"/>
              </w:rPr>
              <w:t>Blenrep</w:t>
            </w:r>
          </w:p>
          <w:p w14:paraId="5CCD059C" w14:textId="77777777" w:rsidR="00305BCD" w:rsidRDefault="00305BCD" w:rsidP="00C1651F">
            <w:pPr>
              <w:rPr>
                <w:rStyle w:val="Emphasis"/>
                <w:rFonts w:cstheme="minorHAnsi"/>
                <w:i w:val="0"/>
                <w:color w:val="000000"/>
              </w:rPr>
            </w:pPr>
          </w:p>
          <w:p w14:paraId="405D1B52" w14:textId="77777777" w:rsidR="00305BCD" w:rsidRDefault="00305BCD" w:rsidP="00C1651F">
            <w:pPr>
              <w:rPr>
                <w:rStyle w:val="Emphasis"/>
                <w:rFonts w:cstheme="minorHAnsi"/>
                <w:i w:val="0"/>
                <w:color w:val="000000"/>
              </w:rPr>
            </w:pPr>
            <w:r>
              <w:rPr>
                <w:rStyle w:val="Emphasis"/>
                <w:rFonts w:cstheme="minorHAnsi"/>
                <w:i w:val="0"/>
                <w:color w:val="000000"/>
              </w:rPr>
              <w:t>CMA 25/08/20</w:t>
            </w:r>
          </w:p>
          <w:p w14:paraId="4EEDF6F9" w14:textId="77777777" w:rsidR="00305BCD" w:rsidRDefault="00305BCD" w:rsidP="00C1651F">
            <w:pPr>
              <w:rPr>
                <w:rStyle w:val="Emphasis"/>
                <w:rFonts w:cstheme="minorHAnsi"/>
                <w:i w:val="0"/>
                <w:color w:val="000000"/>
              </w:rPr>
            </w:pPr>
          </w:p>
          <w:p w14:paraId="1A2894A9" w14:textId="77777777" w:rsidR="00305BCD" w:rsidRPr="00E71A31" w:rsidRDefault="00305BCD" w:rsidP="00C1651F">
            <w:pPr>
              <w:rPr>
                <w:rStyle w:val="Emphasis"/>
                <w:rFonts w:cstheme="minorHAnsi"/>
                <w:i w:val="0"/>
                <w:color w:val="000000"/>
              </w:rPr>
            </w:pPr>
            <w:r>
              <w:t>EMA/CHMP/414341/2020 Corr.</w:t>
            </w:r>
          </w:p>
        </w:tc>
        <w:tc>
          <w:tcPr>
            <w:tcW w:w="3093" w:type="dxa"/>
          </w:tcPr>
          <w:p w14:paraId="21DBE7F2" w14:textId="77777777" w:rsidR="00305BCD" w:rsidRDefault="00305BCD" w:rsidP="00C1651F">
            <w:r>
              <w:t>BLENREP is indicated as monotherapy for the treatment of multiple myeloma in adult patients, who have received at least four prior therapies and whose disease is refractory to at least one proteasome inhibitor, one immunomodulatory agent, and an anti-CD38 monoclonal antibody, and who have demonstrated disease progression on the last therapy.</w:t>
            </w:r>
          </w:p>
        </w:tc>
        <w:tc>
          <w:tcPr>
            <w:tcW w:w="3926" w:type="dxa"/>
          </w:tcPr>
          <w:p w14:paraId="0C5DEC82" w14:textId="77777777" w:rsidR="00305BCD" w:rsidRDefault="00305BCD" w:rsidP="00C1651F">
            <w:r>
              <w:t>DREAMM-2 Phase II Pivotal: The primary efficacy endpoint of the study was overall response rate (ORR), defined as sCR+CR+VGPR+PR, according to 2016 International Myeloma Working Group (IMWG) Response Criteria (Table 29) and as assessed by Independent Review Committee (IRC) based on intention to treat (ITT) population</w:t>
            </w:r>
          </w:p>
          <w:p w14:paraId="0A46F68B" w14:textId="77777777" w:rsidR="00305BCD" w:rsidRDefault="00305BCD" w:rsidP="00C1651F"/>
          <w:p w14:paraId="5F6CF8A1" w14:textId="77777777" w:rsidR="00305BCD" w:rsidRDefault="00305BCD" w:rsidP="00C1651F">
            <w:r>
              <w:t>DREAMM-1 Phase I Supportive: Primary were all safety</w:t>
            </w:r>
          </w:p>
        </w:tc>
        <w:tc>
          <w:tcPr>
            <w:tcW w:w="1932" w:type="dxa"/>
          </w:tcPr>
          <w:p w14:paraId="728B12ED" w14:textId="77777777" w:rsidR="00305BCD" w:rsidRDefault="00305BCD" w:rsidP="00C1651F">
            <w:r>
              <w:t>Yes:</w:t>
            </w:r>
          </w:p>
          <w:p w14:paraId="5C61F127" w14:textId="77777777" w:rsidR="00305BCD" w:rsidRDefault="00305BCD" w:rsidP="00C1651F"/>
          <w:p w14:paraId="346D441A" w14:textId="77777777" w:rsidR="00305BCD" w:rsidRDefault="00305BCD" w:rsidP="00C1651F">
            <w:r>
              <w:t>Overall response rate (pivotal)</w:t>
            </w:r>
          </w:p>
        </w:tc>
      </w:tr>
      <w:tr w:rsidR="00305BCD" w14:paraId="79609073" w14:textId="77777777" w:rsidTr="009C0297">
        <w:tc>
          <w:tcPr>
            <w:tcW w:w="2673" w:type="dxa"/>
          </w:tcPr>
          <w:p w14:paraId="7E51A001" w14:textId="77777777" w:rsidR="00305BCD" w:rsidRDefault="00305BCD" w:rsidP="00C1651F">
            <w:pPr>
              <w:rPr>
                <w:rStyle w:val="Emphasis"/>
                <w:rFonts w:cstheme="minorHAnsi"/>
                <w:b/>
                <w:i w:val="0"/>
                <w:color w:val="000000"/>
              </w:rPr>
            </w:pPr>
            <w:r>
              <w:rPr>
                <w:rStyle w:val="Emphasis"/>
                <w:rFonts w:cstheme="minorHAnsi"/>
                <w:b/>
                <w:i w:val="0"/>
                <w:color w:val="000000"/>
              </w:rPr>
              <w:t>cemiplimab</w:t>
            </w:r>
          </w:p>
          <w:p w14:paraId="1C74546E" w14:textId="77777777" w:rsidR="00305BCD" w:rsidRDefault="00305BCD" w:rsidP="00C1651F">
            <w:pPr>
              <w:rPr>
                <w:rStyle w:val="Emphasis"/>
                <w:rFonts w:cstheme="minorHAnsi"/>
                <w:b/>
                <w:i w:val="0"/>
                <w:color w:val="000000"/>
              </w:rPr>
            </w:pPr>
          </w:p>
          <w:p w14:paraId="35D7C26C" w14:textId="77777777" w:rsidR="00305BCD" w:rsidRDefault="00305BCD" w:rsidP="00C1651F">
            <w:pPr>
              <w:rPr>
                <w:rStyle w:val="Emphasis"/>
                <w:rFonts w:cstheme="minorHAnsi"/>
                <w:i w:val="0"/>
                <w:color w:val="000000"/>
              </w:rPr>
            </w:pPr>
            <w:r>
              <w:rPr>
                <w:rStyle w:val="Emphasis"/>
                <w:rFonts w:cstheme="minorHAnsi"/>
                <w:i w:val="0"/>
                <w:color w:val="000000"/>
              </w:rPr>
              <w:t>Libtayo</w:t>
            </w:r>
          </w:p>
          <w:p w14:paraId="314A877F" w14:textId="77777777" w:rsidR="00305BCD" w:rsidRDefault="00305BCD" w:rsidP="00C1651F">
            <w:pPr>
              <w:rPr>
                <w:rStyle w:val="Emphasis"/>
                <w:rFonts w:cstheme="minorHAnsi"/>
                <w:i w:val="0"/>
                <w:color w:val="000000"/>
              </w:rPr>
            </w:pPr>
          </w:p>
          <w:p w14:paraId="133CD9F2" w14:textId="77777777" w:rsidR="00305BCD" w:rsidRDefault="00305BCD" w:rsidP="00C1651F">
            <w:pPr>
              <w:rPr>
                <w:rStyle w:val="Emphasis"/>
                <w:rFonts w:cstheme="minorHAnsi"/>
                <w:i w:val="0"/>
                <w:color w:val="000000"/>
              </w:rPr>
            </w:pPr>
            <w:r>
              <w:rPr>
                <w:rStyle w:val="Emphasis"/>
                <w:rFonts w:cstheme="minorHAnsi"/>
                <w:i w:val="0"/>
                <w:color w:val="000000"/>
              </w:rPr>
              <w:t>CMA 28/06/19</w:t>
            </w:r>
          </w:p>
          <w:p w14:paraId="2081E558" w14:textId="77777777" w:rsidR="00305BCD" w:rsidRDefault="00305BCD" w:rsidP="00C1651F">
            <w:pPr>
              <w:rPr>
                <w:rStyle w:val="Emphasis"/>
                <w:rFonts w:cstheme="minorHAnsi"/>
                <w:i w:val="0"/>
                <w:color w:val="000000"/>
              </w:rPr>
            </w:pPr>
          </w:p>
          <w:p w14:paraId="32481EF0" w14:textId="77777777" w:rsidR="00305BCD" w:rsidRPr="00E71A31" w:rsidRDefault="00305BCD" w:rsidP="00C1651F">
            <w:pPr>
              <w:rPr>
                <w:rStyle w:val="Emphasis"/>
                <w:rFonts w:cstheme="minorHAnsi"/>
                <w:i w:val="0"/>
                <w:color w:val="000000"/>
              </w:rPr>
            </w:pPr>
            <w:r>
              <w:lastRenderedPageBreak/>
              <w:t>EMA/CHMP/368468/2019</w:t>
            </w:r>
          </w:p>
        </w:tc>
        <w:tc>
          <w:tcPr>
            <w:tcW w:w="3093" w:type="dxa"/>
          </w:tcPr>
          <w:p w14:paraId="13D798FC" w14:textId="77777777" w:rsidR="00305BCD" w:rsidRDefault="00305BCD" w:rsidP="00C1651F">
            <w:r>
              <w:lastRenderedPageBreak/>
              <w:t xml:space="preserve">LIBTAYO as monotherapy is indicated for the treatment of adult patients with metastatic or locally advanced cutaneous squamous cell carcinoma who </w:t>
            </w:r>
            <w:r>
              <w:lastRenderedPageBreak/>
              <w:t>are not candidates for curative surgery or curative radiation.</w:t>
            </w:r>
          </w:p>
        </w:tc>
        <w:tc>
          <w:tcPr>
            <w:tcW w:w="3926" w:type="dxa"/>
          </w:tcPr>
          <w:p w14:paraId="5114AD13" w14:textId="77777777" w:rsidR="00305BCD" w:rsidRDefault="00305BCD" w:rsidP="00C1651F">
            <w:r>
              <w:lastRenderedPageBreak/>
              <w:t xml:space="preserve">R2810-ONC-1540 Phase II Pivotal: The primary efficacy variable for this study was ORR according to independent central review. The following independent central review committees </w:t>
            </w:r>
            <w:r>
              <w:lastRenderedPageBreak/>
              <w:t>determined ORR separately for Group 1 (mCSCC) and Group 2 (laCSCC)</w:t>
            </w:r>
          </w:p>
          <w:p w14:paraId="21408E37" w14:textId="77777777" w:rsidR="00305BCD" w:rsidRDefault="00305BCD" w:rsidP="00C1651F"/>
          <w:p w14:paraId="449CA56D" w14:textId="77777777" w:rsidR="00305BCD" w:rsidRDefault="00305BCD" w:rsidP="00C1651F">
            <w:r>
              <w:t>R2810-ONC-1423 Phase I Supportive: Primary were all safety (checked in clinical registry)</w:t>
            </w:r>
          </w:p>
          <w:p w14:paraId="48833172" w14:textId="77777777" w:rsidR="00305BCD" w:rsidRDefault="00305BCD" w:rsidP="00C1651F"/>
          <w:p w14:paraId="6C0CBD00" w14:textId="77777777" w:rsidR="00305BCD" w:rsidRDefault="00305BCD" w:rsidP="00C1651F">
            <w:r>
              <w:t>DeCOG Retrospective Supportive: Objective response rate</w:t>
            </w:r>
          </w:p>
        </w:tc>
        <w:tc>
          <w:tcPr>
            <w:tcW w:w="1932" w:type="dxa"/>
          </w:tcPr>
          <w:p w14:paraId="3FBB99FE" w14:textId="77777777" w:rsidR="00305BCD" w:rsidRDefault="00305BCD" w:rsidP="00C1651F">
            <w:r>
              <w:lastRenderedPageBreak/>
              <w:t>Yes:</w:t>
            </w:r>
          </w:p>
          <w:p w14:paraId="1B0F7BD1" w14:textId="77777777" w:rsidR="00305BCD" w:rsidRDefault="00305BCD" w:rsidP="00C1651F"/>
          <w:p w14:paraId="3C0DD2E6" w14:textId="77777777" w:rsidR="00305BCD" w:rsidRDefault="00305BCD" w:rsidP="00C1651F">
            <w:r>
              <w:t>Objective response rate – IRC assessed (pivotal)</w:t>
            </w:r>
          </w:p>
        </w:tc>
      </w:tr>
      <w:tr w:rsidR="00305BCD" w14:paraId="5F3B1A3D" w14:textId="77777777" w:rsidTr="009C0297">
        <w:tc>
          <w:tcPr>
            <w:tcW w:w="2673" w:type="dxa"/>
          </w:tcPr>
          <w:p w14:paraId="08929640" w14:textId="77777777" w:rsidR="00305BCD" w:rsidRDefault="00305BCD" w:rsidP="00C1651F">
            <w:pPr>
              <w:rPr>
                <w:rStyle w:val="Emphasis"/>
                <w:rFonts w:cstheme="minorHAnsi"/>
                <w:b/>
                <w:i w:val="0"/>
                <w:color w:val="000000"/>
              </w:rPr>
            </w:pPr>
            <w:r>
              <w:rPr>
                <w:rStyle w:val="Emphasis"/>
                <w:rFonts w:cstheme="minorHAnsi"/>
                <w:b/>
                <w:i w:val="0"/>
                <w:color w:val="000000"/>
              </w:rPr>
              <w:t>ataluren</w:t>
            </w:r>
          </w:p>
          <w:p w14:paraId="7A9ABC22" w14:textId="77777777" w:rsidR="00305BCD" w:rsidRDefault="00305BCD" w:rsidP="00C1651F">
            <w:pPr>
              <w:rPr>
                <w:rStyle w:val="Emphasis"/>
                <w:rFonts w:cstheme="minorHAnsi"/>
                <w:b/>
                <w:i w:val="0"/>
                <w:color w:val="000000"/>
              </w:rPr>
            </w:pPr>
          </w:p>
          <w:p w14:paraId="1D306EF9" w14:textId="77777777" w:rsidR="00305BCD" w:rsidRDefault="00305BCD" w:rsidP="00C1651F">
            <w:pPr>
              <w:rPr>
                <w:rStyle w:val="Emphasis"/>
                <w:rFonts w:cstheme="minorHAnsi"/>
                <w:i w:val="0"/>
                <w:color w:val="000000"/>
              </w:rPr>
            </w:pPr>
            <w:r>
              <w:rPr>
                <w:rStyle w:val="Emphasis"/>
                <w:rFonts w:cstheme="minorHAnsi"/>
                <w:i w:val="0"/>
                <w:color w:val="000000"/>
              </w:rPr>
              <w:t>Translarna</w:t>
            </w:r>
          </w:p>
          <w:p w14:paraId="661DFB6E" w14:textId="77777777" w:rsidR="00305BCD" w:rsidRDefault="00305BCD" w:rsidP="00C1651F">
            <w:pPr>
              <w:rPr>
                <w:rStyle w:val="Emphasis"/>
                <w:rFonts w:cstheme="minorHAnsi"/>
                <w:i w:val="0"/>
                <w:color w:val="000000"/>
              </w:rPr>
            </w:pPr>
          </w:p>
          <w:p w14:paraId="274394E9" w14:textId="77777777" w:rsidR="00305BCD" w:rsidRDefault="00305BCD" w:rsidP="00C1651F">
            <w:pPr>
              <w:rPr>
                <w:rStyle w:val="Emphasis"/>
                <w:rFonts w:cstheme="minorHAnsi"/>
                <w:i w:val="0"/>
                <w:color w:val="000000"/>
              </w:rPr>
            </w:pPr>
            <w:r>
              <w:rPr>
                <w:rStyle w:val="Emphasis"/>
                <w:rFonts w:cstheme="minorHAnsi"/>
                <w:i w:val="0"/>
                <w:color w:val="000000"/>
              </w:rPr>
              <w:t>CMA 31/07/14</w:t>
            </w:r>
          </w:p>
          <w:p w14:paraId="66B48256" w14:textId="77777777" w:rsidR="00305BCD" w:rsidRDefault="00305BCD" w:rsidP="00C1651F">
            <w:pPr>
              <w:rPr>
                <w:rStyle w:val="Emphasis"/>
                <w:rFonts w:cstheme="minorHAnsi"/>
                <w:i w:val="0"/>
                <w:color w:val="000000"/>
              </w:rPr>
            </w:pPr>
          </w:p>
          <w:p w14:paraId="35F91953" w14:textId="77777777" w:rsidR="00305BCD" w:rsidRPr="00E71A31" w:rsidRDefault="00305BCD" w:rsidP="00C1651F">
            <w:pPr>
              <w:rPr>
                <w:rStyle w:val="Emphasis"/>
                <w:rFonts w:cstheme="minorHAnsi"/>
                <w:i w:val="0"/>
                <w:color w:val="000000"/>
              </w:rPr>
            </w:pPr>
            <w:r>
              <w:t>EMA/369266/2014</w:t>
            </w:r>
          </w:p>
        </w:tc>
        <w:tc>
          <w:tcPr>
            <w:tcW w:w="3093" w:type="dxa"/>
          </w:tcPr>
          <w:p w14:paraId="304D5733" w14:textId="77777777" w:rsidR="00305BCD" w:rsidRDefault="00305BCD" w:rsidP="00C1651F">
            <w:r>
              <w:t>Translarna is indicated for the treatment of Duchenne muscular dystrophy resulting from a nonsense mutation in the dystrophin gene, in ambulatory patients aged 5 years and older.</w:t>
            </w:r>
          </w:p>
        </w:tc>
        <w:tc>
          <w:tcPr>
            <w:tcW w:w="3926" w:type="dxa"/>
          </w:tcPr>
          <w:p w14:paraId="22171566" w14:textId="77777777" w:rsidR="00305BCD" w:rsidRDefault="00305BCD" w:rsidP="00C1651F">
            <w:r>
              <w:t>PTC124-GD-007-DMD Phase II Pivotal: Change in 6-minute walk distance from baseline to Week 48</w:t>
            </w:r>
          </w:p>
          <w:p w14:paraId="6A9CA3AC" w14:textId="77777777" w:rsidR="00305BCD" w:rsidRDefault="00305BCD" w:rsidP="00C1651F"/>
          <w:p w14:paraId="163FF17A" w14:textId="77777777" w:rsidR="00305BCD" w:rsidRDefault="00305BCD" w:rsidP="00C1651F">
            <w:r>
              <w:t>Plus six supportive studies, two ongoing</w:t>
            </w:r>
          </w:p>
        </w:tc>
        <w:tc>
          <w:tcPr>
            <w:tcW w:w="1932" w:type="dxa"/>
          </w:tcPr>
          <w:p w14:paraId="2E1F8FB1" w14:textId="77777777" w:rsidR="00305BCD" w:rsidRDefault="00305BCD" w:rsidP="00C1651F">
            <w:r>
              <w:t>Yes:</w:t>
            </w:r>
          </w:p>
          <w:p w14:paraId="0BD83FE3" w14:textId="77777777" w:rsidR="00305BCD" w:rsidRDefault="00305BCD" w:rsidP="00C1651F"/>
          <w:p w14:paraId="02179EFE" w14:textId="77777777" w:rsidR="00305BCD" w:rsidRDefault="00305BCD" w:rsidP="00C1651F">
            <w:r>
              <w:t>Change in 6-minute walk distance (pivotal)</w:t>
            </w:r>
          </w:p>
        </w:tc>
      </w:tr>
      <w:tr w:rsidR="00305BCD" w14:paraId="06E4BA9A" w14:textId="77777777" w:rsidTr="009C0297">
        <w:tc>
          <w:tcPr>
            <w:tcW w:w="2673" w:type="dxa"/>
          </w:tcPr>
          <w:p w14:paraId="796A7731" w14:textId="77777777" w:rsidR="00305BCD" w:rsidRDefault="00305BCD" w:rsidP="00C1651F">
            <w:pPr>
              <w:rPr>
                <w:rStyle w:val="Emphasis"/>
                <w:rFonts w:cstheme="minorHAnsi"/>
                <w:b/>
                <w:i w:val="0"/>
                <w:color w:val="000000"/>
              </w:rPr>
            </w:pPr>
            <w:r>
              <w:rPr>
                <w:rStyle w:val="Emphasis"/>
                <w:rFonts w:cstheme="minorHAnsi"/>
                <w:b/>
                <w:i w:val="0"/>
                <w:color w:val="000000"/>
              </w:rPr>
              <w:t>burosumab</w:t>
            </w:r>
          </w:p>
          <w:p w14:paraId="046B8C43" w14:textId="77777777" w:rsidR="00305BCD" w:rsidRDefault="00305BCD" w:rsidP="00C1651F">
            <w:pPr>
              <w:rPr>
                <w:rStyle w:val="Emphasis"/>
                <w:rFonts w:cstheme="minorHAnsi"/>
                <w:b/>
                <w:i w:val="0"/>
                <w:color w:val="000000"/>
              </w:rPr>
            </w:pPr>
          </w:p>
          <w:p w14:paraId="2CF0AAC0" w14:textId="77777777" w:rsidR="00305BCD" w:rsidRDefault="00305BCD" w:rsidP="00C1651F">
            <w:pPr>
              <w:rPr>
                <w:rStyle w:val="Emphasis"/>
                <w:rFonts w:cstheme="minorHAnsi"/>
                <w:i w:val="0"/>
                <w:color w:val="000000"/>
              </w:rPr>
            </w:pPr>
            <w:r>
              <w:rPr>
                <w:rStyle w:val="Emphasis"/>
                <w:rFonts w:cstheme="minorHAnsi"/>
                <w:i w:val="0"/>
                <w:color w:val="000000"/>
              </w:rPr>
              <w:t>Crysvita</w:t>
            </w:r>
          </w:p>
          <w:p w14:paraId="27D35B5F" w14:textId="77777777" w:rsidR="00305BCD" w:rsidRDefault="00305BCD" w:rsidP="00C1651F">
            <w:pPr>
              <w:rPr>
                <w:rStyle w:val="Emphasis"/>
                <w:rFonts w:cstheme="minorHAnsi"/>
                <w:i w:val="0"/>
                <w:color w:val="000000"/>
              </w:rPr>
            </w:pPr>
          </w:p>
          <w:p w14:paraId="72651A42" w14:textId="77777777" w:rsidR="00305BCD" w:rsidRDefault="00305BCD" w:rsidP="00C1651F">
            <w:pPr>
              <w:rPr>
                <w:rStyle w:val="Emphasis"/>
                <w:rFonts w:cstheme="minorHAnsi"/>
                <w:i w:val="0"/>
                <w:color w:val="000000"/>
              </w:rPr>
            </w:pPr>
            <w:r>
              <w:rPr>
                <w:rStyle w:val="Emphasis"/>
                <w:rFonts w:cstheme="minorHAnsi"/>
                <w:i w:val="0"/>
                <w:color w:val="000000"/>
              </w:rPr>
              <w:t>CMA 19/02/18</w:t>
            </w:r>
          </w:p>
          <w:p w14:paraId="2BAD5282" w14:textId="77777777" w:rsidR="00305BCD" w:rsidRDefault="00305BCD" w:rsidP="00C1651F">
            <w:pPr>
              <w:rPr>
                <w:rStyle w:val="Emphasis"/>
                <w:rFonts w:cstheme="minorHAnsi"/>
                <w:i w:val="0"/>
                <w:color w:val="000000"/>
              </w:rPr>
            </w:pPr>
          </w:p>
          <w:p w14:paraId="33431ADF" w14:textId="77777777" w:rsidR="00305BCD" w:rsidRPr="00E71A31" w:rsidRDefault="00305BCD" w:rsidP="00C1651F">
            <w:pPr>
              <w:rPr>
                <w:rStyle w:val="Emphasis"/>
                <w:rFonts w:cstheme="minorHAnsi"/>
                <w:i w:val="0"/>
                <w:color w:val="000000"/>
              </w:rPr>
            </w:pPr>
            <w:r>
              <w:t>EMA/148319/2018</w:t>
            </w:r>
          </w:p>
        </w:tc>
        <w:tc>
          <w:tcPr>
            <w:tcW w:w="3093" w:type="dxa"/>
          </w:tcPr>
          <w:p w14:paraId="306AA817" w14:textId="77777777" w:rsidR="00305BCD" w:rsidRDefault="00305BCD" w:rsidP="00C1651F">
            <w:r>
              <w:t>Treatment of X-linked hypophosphataemia (XLH) in children over 1 year of age and adults.</w:t>
            </w:r>
          </w:p>
        </w:tc>
        <w:tc>
          <w:tcPr>
            <w:tcW w:w="3926" w:type="dxa"/>
          </w:tcPr>
          <w:p w14:paraId="06BF5459" w14:textId="77777777" w:rsidR="00305BCD" w:rsidRDefault="00305BCD" w:rsidP="00C1651F">
            <w:r>
              <w:t>Paediatric</w:t>
            </w:r>
          </w:p>
          <w:p w14:paraId="75139393" w14:textId="77777777" w:rsidR="00305BCD" w:rsidRDefault="00305BCD" w:rsidP="00C1651F"/>
          <w:p w14:paraId="0B1165EB" w14:textId="77777777" w:rsidR="00305BCD" w:rsidRDefault="00305BCD" w:rsidP="00C1651F">
            <w:r>
              <w:t>UX023-CL201 Phase II Pivotal: Change from Baseline in severity of rickets as measured by Rickets Severity Score (RSS)</w:t>
            </w:r>
          </w:p>
          <w:p w14:paraId="357F910F" w14:textId="77777777" w:rsidR="00305BCD" w:rsidRDefault="00305BCD" w:rsidP="00C1651F"/>
          <w:p w14:paraId="79ECB820" w14:textId="77777777" w:rsidR="00305BCD" w:rsidRDefault="00305BCD" w:rsidP="00C1651F">
            <w:r>
              <w:t>UX023-CL205 Phase Pivotal: Similar to above, pharmacodynamic: the primary efficacy endpoint is this study is the change from baseline over time in serum phosphorus.</w:t>
            </w:r>
          </w:p>
          <w:p w14:paraId="09608F00" w14:textId="77777777" w:rsidR="00305BCD" w:rsidRDefault="00305BCD" w:rsidP="00C1651F"/>
          <w:p w14:paraId="585AB1B7" w14:textId="77777777" w:rsidR="00305BCD" w:rsidRDefault="00305BCD" w:rsidP="00C1651F">
            <w:r>
              <w:t>UX023-CL301 Phase II Planned: Same as first.</w:t>
            </w:r>
          </w:p>
          <w:p w14:paraId="2A609498" w14:textId="77777777" w:rsidR="00305BCD" w:rsidRDefault="00305BCD" w:rsidP="00C1651F"/>
          <w:p w14:paraId="56316043" w14:textId="77777777" w:rsidR="00305BCD" w:rsidRDefault="00305BCD" w:rsidP="00C1651F">
            <w:r>
              <w:t>Adults</w:t>
            </w:r>
          </w:p>
          <w:p w14:paraId="3F46CA66" w14:textId="77777777" w:rsidR="00305BCD" w:rsidRDefault="00305BCD" w:rsidP="00C1651F"/>
          <w:p w14:paraId="19CF7FA7" w14:textId="77777777" w:rsidR="00305BCD" w:rsidRDefault="00305BCD" w:rsidP="00C1651F">
            <w:r>
              <w:t>UX023-CL303 Phase III Pivotal*: the proportion of subjects achieving mean serum phosphorus levels above the lower limit of normal (0.81 mmol/L) at the mid-point of the dose interval (i.e. Weeks 2, 6, 10, 14, 18 and 22), as averaged across dose cycles between baseline and Week 24.</w:t>
            </w:r>
          </w:p>
          <w:p w14:paraId="4860DFEA" w14:textId="77777777" w:rsidR="00305BCD" w:rsidRDefault="00305BCD" w:rsidP="00C1651F"/>
          <w:p w14:paraId="477B0154" w14:textId="77777777" w:rsidR="00305BCD" w:rsidRDefault="00305BCD" w:rsidP="00C1651F">
            <w:r>
              <w:t>*only safety was considered by CHMP</w:t>
            </w:r>
          </w:p>
        </w:tc>
        <w:tc>
          <w:tcPr>
            <w:tcW w:w="1932" w:type="dxa"/>
          </w:tcPr>
          <w:p w14:paraId="54EECDE1" w14:textId="77777777" w:rsidR="00305BCD" w:rsidRDefault="00305BCD" w:rsidP="00C1651F">
            <w:r>
              <w:t>Yes:</w:t>
            </w:r>
          </w:p>
          <w:p w14:paraId="685D0CD3" w14:textId="77777777" w:rsidR="00305BCD" w:rsidRDefault="00305BCD" w:rsidP="00C1651F"/>
          <w:p w14:paraId="54C1DD8F" w14:textId="77777777" w:rsidR="00305BCD" w:rsidRDefault="00305BCD" w:rsidP="00C1651F">
            <w:r>
              <w:t>Change in RSS score (pivotal)</w:t>
            </w:r>
          </w:p>
          <w:p w14:paraId="2C5D87CC" w14:textId="77777777" w:rsidR="00305BCD" w:rsidRDefault="00305BCD" w:rsidP="00C1651F"/>
          <w:p w14:paraId="1B2F7694" w14:textId="77777777" w:rsidR="00305BCD" w:rsidRDefault="00305BCD" w:rsidP="00C1651F">
            <w:r>
              <w:t>Pharmacodynamic: Serum phosphorus levels (pivotal)</w:t>
            </w:r>
          </w:p>
        </w:tc>
      </w:tr>
      <w:tr w:rsidR="00305BCD" w14:paraId="1A9D1AC5" w14:textId="77777777" w:rsidTr="009C0297">
        <w:tc>
          <w:tcPr>
            <w:tcW w:w="2673" w:type="dxa"/>
          </w:tcPr>
          <w:p w14:paraId="0FD74737" w14:textId="77777777" w:rsidR="00305BCD" w:rsidRDefault="00305BCD" w:rsidP="00C1651F">
            <w:pPr>
              <w:rPr>
                <w:rStyle w:val="Emphasis"/>
                <w:rFonts w:cstheme="minorHAnsi"/>
                <w:b/>
                <w:i w:val="0"/>
                <w:color w:val="000000"/>
              </w:rPr>
            </w:pPr>
            <w:r>
              <w:rPr>
                <w:rStyle w:val="Emphasis"/>
                <w:rFonts w:cstheme="minorHAnsi"/>
                <w:b/>
                <w:i w:val="0"/>
                <w:color w:val="000000"/>
              </w:rPr>
              <w:t>volanesorsen</w:t>
            </w:r>
          </w:p>
          <w:p w14:paraId="50D3D555" w14:textId="77777777" w:rsidR="00305BCD" w:rsidRDefault="00305BCD" w:rsidP="00C1651F">
            <w:pPr>
              <w:rPr>
                <w:rStyle w:val="Emphasis"/>
                <w:rFonts w:cstheme="minorHAnsi"/>
                <w:b/>
                <w:i w:val="0"/>
                <w:color w:val="000000"/>
              </w:rPr>
            </w:pPr>
          </w:p>
          <w:p w14:paraId="69ABFB3D" w14:textId="77777777" w:rsidR="00305BCD" w:rsidRDefault="00305BCD" w:rsidP="00C1651F">
            <w:pPr>
              <w:rPr>
                <w:rStyle w:val="Emphasis"/>
                <w:rFonts w:cstheme="minorHAnsi"/>
                <w:i w:val="0"/>
                <w:color w:val="000000"/>
              </w:rPr>
            </w:pPr>
            <w:r>
              <w:rPr>
                <w:rStyle w:val="Emphasis"/>
                <w:rFonts w:cstheme="minorHAnsi"/>
                <w:i w:val="0"/>
                <w:color w:val="000000"/>
              </w:rPr>
              <w:t>Waylivra</w:t>
            </w:r>
          </w:p>
          <w:p w14:paraId="05D23971" w14:textId="77777777" w:rsidR="00305BCD" w:rsidRDefault="00305BCD" w:rsidP="00C1651F">
            <w:pPr>
              <w:rPr>
                <w:rStyle w:val="Emphasis"/>
                <w:rFonts w:cstheme="minorHAnsi"/>
                <w:i w:val="0"/>
                <w:color w:val="000000"/>
              </w:rPr>
            </w:pPr>
          </w:p>
          <w:p w14:paraId="6CF25534" w14:textId="77777777" w:rsidR="00305BCD" w:rsidRDefault="00305BCD" w:rsidP="00C1651F">
            <w:pPr>
              <w:rPr>
                <w:rStyle w:val="Emphasis"/>
                <w:rFonts w:cstheme="minorHAnsi"/>
                <w:i w:val="0"/>
                <w:color w:val="000000"/>
              </w:rPr>
            </w:pPr>
            <w:r>
              <w:rPr>
                <w:rStyle w:val="Emphasis"/>
                <w:rFonts w:cstheme="minorHAnsi"/>
                <w:i w:val="0"/>
                <w:color w:val="000000"/>
              </w:rPr>
              <w:t>CMA 03/05/19</w:t>
            </w:r>
          </w:p>
          <w:p w14:paraId="27BB8BBA" w14:textId="77777777" w:rsidR="00305BCD" w:rsidRDefault="00305BCD" w:rsidP="00C1651F">
            <w:pPr>
              <w:rPr>
                <w:rStyle w:val="Emphasis"/>
                <w:rFonts w:cstheme="minorHAnsi"/>
                <w:i w:val="0"/>
                <w:color w:val="000000"/>
              </w:rPr>
            </w:pPr>
          </w:p>
          <w:p w14:paraId="60EC1E55" w14:textId="77777777" w:rsidR="00305BCD" w:rsidRPr="00F30553" w:rsidRDefault="00305BCD" w:rsidP="00C1651F">
            <w:pPr>
              <w:rPr>
                <w:rStyle w:val="Emphasis"/>
                <w:rFonts w:cstheme="minorHAnsi"/>
                <w:i w:val="0"/>
                <w:color w:val="000000"/>
              </w:rPr>
            </w:pPr>
            <w:r>
              <w:t>EMA/180717/2019</w:t>
            </w:r>
          </w:p>
        </w:tc>
        <w:tc>
          <w:tcPr>
            <w:tcW w:w="3093" w:type="dxa"/>
          </w:tcPr>
          <w:p w14:paraId="5D5492D2" w14:textId="77777777" w:rsidR="00305BCD" w:rsidRDefault="00305BCD" w:rsidP="00C1651F">
            <w:r>
              <w:t>[T]reatment of familial chylomicronemia syndrome (FCS), a genetic based orphan disease characterised by extremely high serum triglycerides (TG) (&gt; 880 mg/dL, 10 mmol/L).</w:t>
            </w:r>
          </w:p>
        </w:tc>
        <w:tc>
          <w:tcPr>
            <w:tcW w:w="3926" w:type="dxa"/>
          </w:tcPr>
          <w:p w14:paraId="10916A5E" w14:textId="77777777" w:rsidR="00305BCD" w:rsidRDefault="00305BCD" w:rsidP="00C1651F">
            <w:r>
              <w:t>CS6 Phase III Pivotal: The primary endpoint was the percentage change in fasting TG from Baseline to the primary analysis time point at the end of Month 3, where the value was defined as the average of Week 12 (Day 78) and Week 13 (Day 85) fasting assessments.</w:t>
            </w:r>
          </w:p>
          <w:p w14:paraId="35AA5717" w14:textId="77777777" w:rsidR="00305BCD" w:rsidRDefault="00305BCD" w:rsidP="00C1651F"/>
          <w:p w14:paraId="62DBD702" w14:textId="77777777" w:rsidR="00305BCD" w:rsidRDefault="00305BCD" w:rsidP="00C1651F">
            <w:r>
              <w:t>CS16 Phase III Supportive: Same as above</w:t>
            </w:r>
          </w:p>
          <w:p w14:paraId="26D456C6" w14:textId="77777777" w:rsidR="00305BCD" w:rsidRDefault="00305BCD" w:rsidP="00C1651F"/>
          <w:p w14:paraId="3B11A4C0" w14:textId="77777777" w:rsidR="00305BCD" w:rsidRDefault="00305BCD" w:rsidP="00C1651F">
            <w:r>
              <w:t xml:space="preserve">CS7 Supportive: The primary efficacy endpoints of study CS7 are summarized below: • Percent change and absolute change from Baseline in fasting total </w:t>
            </w:r>
            <w:r>
              <w:lastRenderedPageBreak/>
              <w:t>ApoC-III, TG and other lipid measurements including total cholesterol, non-HDL-C, apoB, HDL-C, apoA-1 (apoA-1), VLDL-C, and LDL-C, at month 3, 6 and 12. • Frequency and severity of patient reported abdominal pain during the treatment period, • Change from Baseline in Quality of Life (QOL) questionnaires (EQ-5D, SF-36), • Independently adjudicated acute pancreatitis event rate, • Frequency of other symptoms: eruptive xanthoma, lipemia retinalis.</w:t>
            </w:r>
          </w:p>
        </w:tc>
        <w:tc>
          <w:tcPr>
            <w:tcW w:w="1932" w:type="dxa"/>
          </w:tcPr>
          <w:p w14:paraId="2EEA23C8" w14:textId="77777777" w:rsidR="00305BCD" w:rsidRDefault="00305BCD" w:rsidP="00C1651F">
            <w:r>
              <w:lastRenderedPageBreak/>
              <w:t>Yes:</w:t>
            </w:r>
          </w:p>
          <w:p w14:paraId="676B74D0" w14:textId="77777777" w:rsidR="00305BCD" w:rsidRDefault="00305BCD" w:rsidP="00C1651F"/>
          <w:p w14:paraId="206D4281" w14:textId="77777777" w:rsidR="00305BCD" w:rsidRDefault="00305BCD" w:rsidP="00500AC5">
            <w:r>
              <w:t>Percent change in fasting triglycerides (pivotal)</w:t>
            </w:r>
          </w:p>
        </w:tc>
      </w:tr>
      <w:tr w:rsidR="00305BCD" w14:paraId="3F133D38" w14:textId="77777777" w:rsidTr="009C0297">
        <w:tc>
          <w:tcPr>
            <w:tcW w:w="2673" w:type="dxa"/>
          </w:tcPr>
          <w:p w14:paraId="1818AB1F" w14:textId="77777777" w:rsidR="00305BCD" w:rsidRDefault="00305BCD" w:rsidP="00C1651F">
            <w:pPr>
              <w:rPr>
                <w:rStyle w:val="Emphasis"/>
                <w:rFonts w:cstheme="minorHAnsi"/>
                <w:b/>
                <w:i w:val="0"/>
                <w:color w:val="000000"/>
              </w:rPr>
            </w:pPr>
            <w:r>
              <w:rPr>
                <w:rStyle w:val="Emphasis"/>
                <w:rFonts w:cstheme="minorHAnsi"/>
                <w:b/>
                <w:i w:val="0"/>
                <w:color w:val="000000"/>
              </w:rPr>
              <w:t>trastuzumab deruxtecan</w:t>
            </w:r>
          </w:p>
          <w:p w14:paraId="0569768B" w14:textId="77777777" w:rsidR="00305BCD" w:rsidRDefault="00305BCD" w:rsidP="00C1651F">
            <w:pPr>
              <w:rPr>
                <w:rStyle w:val="Emphasis"/>
                <w:rFonts w:cstheme="minorHAnsi"/>
                <w:b/>
                <w:i w:val="0"/>
                <w:color w:val="000000"/>
              </w:rPr>
            </w:pPr>
          </w:p>
          <w:p w14:paraId="39F56167" w14:textId="77777777" w:rsidR="00305BCD" w:rsidRDefault="00305BCD" w:rsidP="00C1651F">
            <w:pPr>
              <w:rPr>
                <w:rStyle w:val="Emphasis"/>
                <w:rFonts w:cstheme="minorHAnsi"/>
                <w:i w:val="0"/>
                <w:color w:val="000000"/>
              </w:rPr>
            </w:pPr>
            <w:r>
              <w:rPr>
                <w:rStyle w:val="Emphasis"/>
                <w:rFonts w:cstheme="minorHAnsi"/>
                <w:i w:val="0"/>
                <w:color w:val="000000"/>
              </w:rPr>
              <w:t>Enhertu</w:t>
            </w:r>
          </w:p>
          <w:p w14:paraId="15A67B05" w14:textId="77777777" w:rsidR="00305BCD" w:rsidRDefault="00305BCD" w:rsidP="00C1651F">
            <w:pPr>
              <w:rPr>
                <w:rStyle w:val="Emphasis"/>
                <w:rFonts w:cstheme="minorHAnsi"/>
                <w:i w:val="0"/>
                <w:color w:val="000000"/>
              </w:rPr>
            </w:pPr>
          </w:p>
          <w:p w14:paraId="2ECA370C" w14:textId="77777777" w:rsidR="00305BCD" w:rsidRDefault="00305BCD" w:rsidP="00C1651F">
            <w:pPr>
              <w:rPr>
                <w:rStyle w:val="Emphasis"/>
                <w:rFonts w:cstheme="minorHAnsi"/>
                <w:i w:val="0"/>
                <w:color w:val="000000"/>
              </w:rPr>
            </w:pPr>
            <w:r>
              <w:rPr>
                <w:rStyle w:val="Emphasis"/>
                <w:rFonts w:cstheme="minorHAnsi"/>
                <w:i w:val="0"/>
                <w:color w:val="000000"/>
              </w:rPr>
              <w:t>CMA 18/01/21</w:t>
            </w:r>
          </w:p>
          <w:p w14:paraId="1EAEA519" w14:textId="77777777" w:rsidR="00305BCD" w:rsidRDefault="00305BCD" w:rsidP="00C1651F">
            <w:pPr>
              <w:rPr>
                <w:rStyle w:val="Emphasis"/>
                <w:rFonts w:cstheme="minorHAnsi"/>
                <w:i w:val="0"/>
                <w:color w:val="000000"/>
              </w:rPr>
            </w:pPr>
          </w:p>
          <w:p w14:paraId="2D006C7A" w14:textId="77777777" w:rsidR="00305BCD" w:rsidRPr="00500AC5" w:rsidRDefault="00305BCD" w:rsidP="00C1651F">
            <w:pPr>
              <w:rPr>
                <w:rStyle w:val="Emphasis"/>
                <w:rFonts w:cstheme="minorHAnsi"/>
                <w:i w:val="0"/>
                <w:color w:val="000000"/>
              </w:rPr>
            </w:pPr>
            <w:r>
              <w:t>EMA/2446/2021</w:t>
            </w:r>
          </w:p>
        </w:tc>
        <w:tc>
          <w:tcPr>
            <w:tcW w:w="3093" w:type="dxa"/>
          </w:tcPr>
          <w:p w14:paraId="044E473C" w14:textId="77777777" w:rsidR="00305BCD" w:rsidRDefault="00305BCD" w:rsidP="00C1651F">
            <w:r>
              <w:t>The claimed indication for trastuzumab deruxtecan is monotherapy for the treatment of adult patients with unresectable or metastatic HER2 positive breast cancer who have received two or more prior anti HER2 based regimens.</w:t>
            </w:r>
          </w:p>
        </w:tc>
        <w:tc>
          <w:tcPr>
            <w:tcW w:w="3926" w:type="dxa"/>
          </w:tcPr>
          <w:p w14:paraId="4A0F8424" w14:textId="77777777" w:rsidR="00305BCD" w:rsidRDefault="00305BCD" w:rsidP="00C1651F">
            <w:r>
              <w:t>DS8201-A-U201 Phase II Pivotal: The primary efficacy endpoint of the study was ORR assessed by an ICR based on tumor scans. Objective response rate was defined as the proportion of subjects who achieved a best overall response (BOR) of complete response (CR) or partial response (PR), with confirmation of response, based on RECIST 1.1.</w:t>
            </w:r>
          </w:p>
          <w:p w14:paraId="504D2D86" w14:textId="77777777" w:rsidR="00305BCD" w:rsidRDefault="00305BCD" w:rsidP="00C1651F"/>
          <w:p w14:paraId="3BD83C5B" w14:textId="77777777" w:rsidR="00305BCD" w:rsidRDefault="00305BCD" w:rsidP="00C1651F">
            <w:r>
              <w:t xml:space="preserve">Unicancer Research Program Supportive </w:t>
            </w:r>
          </w:p>
          <w:p w14:paraId="71903E41" w14:textId="77777777" w:rsidR="00305BCD" w:rsidRDefault="00305BCD" w:rsidP="00C1651F"/>
          <w:p w14:paraId="45B14397" w14:textId="77777777" w:rsidR="00305BCD" w:rsidRDefault="00305BCD" w:rsidP="00500AC5">
            <w:r>
              <w:t>DS8201-PMx004 Meta-Analysis Supportive</w:t>
            </w:r>
          </w:p>
        </w:tc>
        <w:tc>
          <w:tcPr>
            <w:tcW w:w="1932" w:type="dxa"/>
          </w:tcPr>
          <w:p w14:paraId="3C7ADAFC" w14:textId="77777777" w:rsidR="00305BCD" w:rsidRDefault="00305BCD" w:rsidP="00C1651F">
            <w:r>
              <w:t>Yes:</w:t>
            </w:r>
          </w:p>
          <w:p w14:paraId="502FDB4D" w14:textId="77777777" w:rsidR="00305BCD" w:rsidRDefault="00305BCD" w:rsidP="00C1651F"/>
          <w:p w14:paraId="56FCE613" w14:textId="77777777" w:rsidR="00305BCD" w:rsidRDefault="00305BCD" w:rsidP="00C1651F">
            <w:r>
              <w:t>Overall response rate (pivotal)</w:t>
            </w:r>
          </w:p>
        </w:tc>
      </w:tr>
      <w:tr w:rsidR="00305BCD" w14:paraId="65DB6E9B" w14:textId="77777777" w:rsidTr="009C0297">
        <w:tc>
          <w:tcPr>
            <w:tcW w:w="2673" w:type="dxa"/>
          </w:tcPr>
          <w:p w14:paraId="602070C6" w14:textId="77777777" w:rsidR="00305BCD" w:rsidRDefault="00305BCD" w:rsidP="00C1651F">
            <w:pPr>
              <w:rPr>
                <w:rStyle w:val="Emphasis"/>
                <w:rFonts w:cstheme="minorHAnsi"/>
                <w:b/>
                <w:i w:val="0"/>
                <w:color w:val="000000"/>
              </w:rPr>
            </w:pPr>
            <w:r>
              <w:rPr>
                <w:rStyle w:val="Emphasis"/>
                <w:rFonts w:cstheme="minorHAnsi"/>
                <w:b/>
                <w:i w:val="0"/>
                <w:color w:val="000000"/>
              </w:rPr>
              <w:t>pemigatinib</w:t>
            </w:r>
          </w:p>
          <w:p w14:paraId="57933731" w14:textId="77777777" w:rsidR="00305BCD" w:rsidRDefault="00305BCD" w:rsidP="00C1651F">
            <w:pPr>
              <w:rPr>
                <w:rStyle w:val="Emphasis"/>
                <w:rFonts w:cstheme="minorHAnsi"/>
                <w:b/>
                <w:i w:val="0"/>
                <w:color w:val="000000"/>
              </w:rPr>
            </w:pPr>
          </w:p>
          <w:p w14:paraId="45B935C8" w14:textId="77777777" w:rsidR="00305BCD" w:rsidRDefault="00305BCD" w:rsidP="00C1651F">
            <w:pPr>
              <w:rPr>
                <w:rStyle w:val="Emphasis"/>
                <w:rFonts w:cstheme="minorHAnsi"/>
                <w:i w:val="0"/>
                <w:color w:val="000000"/>
              </w:rPr>
            </w:pPr>
            <w:r>
              <w:rPr>
                <w:rStyle w:val="Emphasis"/>
                <w:rFonts w:cstheme="minorHAnsi"/>
                <w:i w:val="0"/>
                <w:color w:val="000000"/>
              </w:rPr>
              <w:t>Pemazyre</w:t>
            </w:r>
          </w:p>
          <w:p w14:paraId="6D511178" w14:textId="77777777" w:rsidR="00305BCD" w:rsidRDefault="00305BCD" w:rsidP="00C1651F">
            <w:pPr>
              <w:rPr>
                <w:rStyle w:val="Emphasis"/>
                <w:rFonts w:cstheme="minorHAnsi"/>
                <w:i w:val="0"/>
                <w:color w:val="000000"/>
              </w:rPr>
            </w:pPr>
          </w:p>
          <w:p w14:paraId="5A18244D" w14:textId="77777777" w:rsidR="00305BCD" w:rsidRDefault="00305BCD" w:rsidP="00C1651F">
            <w:pPr>
              <w:rPr>
                <w:rStyle w:val="Emphasis"/>
                <w:rFonts w:cstheme="minorHAnsi"/>
                <w:i w:val="0"/>
                <w:color w:val="000000"/>
              </w:rPr>
            </w:pPr>
            <w:r>
              <w:rPr>
                <w:rStyle w:val="Emphasis"/>
                <w:rFonts w:cstheme="minorHAnsi"/>
                <w:i w:val="0"/>
                <w:color w:val="000000"/>
              </w:rPr>
              <w:t>CMA 26/03/21</w:t>
            </w:r>
          </w:p>
          <w:p w14:paraId="6B35739D" w14:textId="77777777" w:rsidR="00305BCD" w:rsidRDefault="00305BCD" w:rsidP="00C1651F">
            <w:pPr>
              <w:rPr>
                <w:rStyle w:val="Emphasis"/>
                <w:rFonts w:cstheme="minorHAnsi"/>
                <w:i w:val="0"/>
                <w:color w:val="000000"/>
              </w:rPr>
            </w:pPr>
          </w:p>
          <w:p w14:paraId="7CA13F79" w14:textId="77777777" w:rsidR="00305BCD" w:rsidRPr="00500AC5" w:rsidRDefault="00305BCD" w:rsidP="00C1651F">
            <w:pPr>
              <w:rPr>
                <w:rStyle w:val="Emphasis"/>
                <w:rFonts w:cstheme="minorHAnsi"/>
                <w:i w:val="0"/>
                <w:color w:val="000000"/>
              </w:rPr>
            </w:pPr>
            <w:r>
              <w:t>EMA/CHMP/105411/2021</w:t>
            </w:r>
          </w:p>
        </w:tc>
        <w:tc>
          <w:tcPr>
            <w:tcW w:w="3093" w:type="dxa"/>
          </w:tcPr>
          <w:p w14:paraId="510D0575" w14:textId="77777777" w:rsidR="00305BCD" w:rsidRDefault="00305BCD" w:rsidP="00C1651F">
            <w:r>
              <w:t>Pemazyre monotherapy is indicated for the treatment of adults with locally advanced or metastatic cholangiocarcinoma with a fibroblast growth factor receptor 2 (FGFR2) fusion or rearrangement that have progressed after at least one prior line of systemic therapy.</w:t>
            </w:r>
          </w:p>
        </w:tc>
        <w:tc>
          <w:tcPr>
            <w:tcW w:w="3926" w:type="dxa"/>
          </w:tcPr>
          <w:p w14:paraId="7B97471F" w14:textId="77777777" w:rsidR="00305BCD" w:rsidRDefault="00305BCD" w:rsidP="00C1651F">
            <w:r>
              <w:t>INCB 54828-202 Phase II Pivotal: The primary endpoint of this study is to determine the objective response rate (ORR) in participants with FGFR2 rearrangements or fusions based on the central genomics laboratory results (Cohort A). ORR is defined as the proportion of participants who achieved a complete response (disappearance of all target lesions) or a partial response (≥ 30% decrease in the sum of the longest diameters of target lesions) based on RECIST v1.1. Clinical response is determined by an independent review committee (IRC).</w:t>
            </w:r>
          </w:p>
        </w:tc>
        <w:tc>
          <w:tcPr>
            <w:tcW w:w="1932" w:type="dxa"/>
          </w:tcPr>
          <w:p w14:paraId="7590667F" w14:textId="77777777" w:rsidR="00305BCD" w:rsidRDefault="00305BCD" w:rsidP="00C1651F">
            <w:r>
              <w:t>Yes:</w:t>
            </w:r>
          </w:p>
          <w:p w14:paraId="3FB90841" w14:textId="77777777" w:rsidR="00305BCD" w:rsidRDefault="00305BCD" w:rsidP="00C1651F"/>
          <w:p w14:paraId="387E71AB" w14:textId="77777777" w:rsidR="00305BCD" w:rsidRDefault="00305BCD" w:rsidP="00C1651F">
            <w:r>
              <w:t>Objective response rate (pivotal)</w:t>
            </w:r>
          </w:p>
        </w:tc>
      </w:tr>
      <w:tr w:rsidR="00305BCD" w14:paraId="5FCFC3CC" w14:textId="77777777" w:rsidTr="009C0297">
        <w:tc>
          <w:tcPr>
            <w:tcW w:w="2673" w:type="dxa"/>
          </w:tcPr>
          <w:p w14:paraId="2E2F2712" w14:textId="77777777" w:rsidR="00305BCD" w:rsidRDefault="00305BCD" w:rsidP="00C1651F">
            <w:pPr>
              <w:rPr>
                <w:rStyle w:val="Emphasis"/>
                <w:rFonts w:cstheme="minorHAnsi"/>
                <w:b/>
                <w:i w:val="0"/>
                <w:color w:val="000000"/>
              </w:rPr>
            </w:pPr>
            <w:r>
              <w:rPr>
                <w:rStyle w:val="Emphasis"/>
                <w:rFonts w:cstheme="minorHAnsi"/>
                <w:b/>
                <w:i w:val="0"/>
                <w:color w:val="000000"/>
              </w:rPr>
              <w:t>dostarlimab</w:t>
            </w:r>
          </w:p>
          <w:p w14:paraId="61FAB38E" w14:textId="77777777" w:rsidR="00305BCD" w:rsidRDefault="00305BCD" w:rsidP="00C1651F">
            <w:pPr>
              <w:rPr>
                <w:rStyle w:val="Emphasis"/>
                <w:rFonts w:cstheme="minorHAnsi"/>
                <w:b/>
                <w:i w:val="0"/>
                <w:color w:val="000000"/>
              </w:rPr>
            </w:pPr>
          </w:p>
          <w:p w14:paraId="69C73C81" w14:textId="77777777" w:rsidR="00305BCD" w:rsidRDefault="00305BCD" w:rsidP="00C1651F">
            <w:pPr>
              <w:rPr>
                <w:rStyle w:val="Emphasis"/>
                <w:rFonts w:cstheme="minorHAnsi"/>
                <w:i w:val="0"/>
                <w:color w:val="000000"/>
              </w:rPr>
            </w:pPr>
            <w:r>
              <w:rPr>
                <w:rStyle w:val="Emphasis"/>
                <w:rFonts w:cstheme="minorHAnsi"/>
                <w:i w:val="0"/>
                <w:color w:val="000000"/>
              </w:rPr>
              <w:t>Jemperli</w:t>
            </w:r>
          </w:p>
          <w:p w14:paraId="1B690C9D" w14:textId="77777777" w:rsidR="00305BCD" w:rsidRDefault="00305BCD" w:rsidP="00C1651F">
            <w:pPr>
              <w:rPr>
                <w:rStyle w:val="Emphasis"/>
                <w:rFonts w:cstheme="minorHAnsi"/>
                <w:i w:val="0"/>
                <w:color w:val="000000"/>
              </w:rPr>
            </w:pPr>
          </w:p>
          <w:p w14:paraId="28159E28" w14:textId="77777777" w:rsidR="00305BCD" w:rsidRDefault="00305BCD" w:rsidP="00C1651F">
            <w:pPr>
              <w:rPr>
                <w:rStyle w:val="Emphasis"/>
                <w:rFonts w:cstheme="minorHAnsi"/>
                <w:i w:val="0"/>
                <w:color w:val="000000"/>
              </w:rPr>
            </w:pPr>
            <w:r>
              <w:rPr>
                <w:rStyle w:val="Emphasis"/>
                <w:rFonts w:cstheme="minorHAnsi"/>
                <w:i w:val="0"/>
                <w:color w:val="000000"/>
              </w:rPr>
              <w:t>CMA 21/04/21</w:t>
            </w:r>
          </w:p>
          <w:p w14:paraId="60612412" w14:textId="77777777" w:rsidR="00305BCD" w:rsidRDefault="00305BCD" w:rsidP="00C1651F">
            <w:pPr>
              <w:rPr>
                <w:rStyle w:val="Emphasis"/>
                <w:rFonts w:cstheme="minorHAnsi"/>
                <w:i w:val="0"/>
                <w:color w:val="000000"/>
              </w:rPr>
            </w:pPr>
          </w:p>
          <w:p w14:paraId="09B1A195" w14:textId="77777777" w:rsidR="00305BCD" w:rsidRPr="00221354" w:rsidRDefault="00305BCD" w:rsidP="00C1651F">
            <w:pPr>
              <w:rPr>
                <w:rStyle w:val="Emphasis"/>
                <w:rFonts w:cstheme="minorHAnsi"/>
                <w:i w:val="0"/>
                <w:color w:val="000000"/>
              </w:rPr>
            </w:pPr>
            <w:r>
              <w:t>EMA/176464/2021</w:t>
            </w:r>
          </w:p>
        </w:tc>
        <w:tc>
          <w:tcPr>
            <w:tcW w:w="3093" w:type="dxa"/>
          </w:tcPr>
          <w:p w14:paraId="7E9078D6" w14:textId="77777777" w:rsidR="00305BCD" w:rsidRDefault="00305BCD" w:rsidP="00C1651F">
            <w:r>
              <w:t>Dostarlimab is intended as monotherapy for the treatment of adult patients with mismatch repair deficient (dMMR)/microsatellite instability-high (MSI-H) recurrent or advanced endometrial cancer (EC) that has progressed on or following prior treatment with a platinum-containing regimen.</w:t>
            </w:r>
          </w:p>
        </w:tc>
        <w:tc>
          <w:tcPr>
            <w:tcW w:w="3926" w:type="dxa"/>
          </w:tcPr>
          <w:p w14:paraId="0778B44A" w14:textId="77777777" w:rsidR="00305BCD" w:rsidRDefault="00305BCD" w:rsidP="00221354">
            <w:r>
              <w:t>4010-01-001 Phase I Pivotal: The primary endpoints for Cohort A1 were as follows: ORR, defined as the proportion of patients achieving best overall response (BOR) of complete response (CR) or partial response (PR), as assessed per RECIST v1.1 based on BICR; DOR, defined as the time from first documentation of CR or PR, as assessed per RECIST v1.1, until the time of first documentation of PD, as assessed per RECIST v1.1 based on BICR, or death due to any cause</w:t>
            </w:r>
            <w:r>
              <w:br/>
            </w:r>
          </w:p>
          <w:p w14:paraId="3CA928D0" w14:textId="77777777" w:rsidR="00305BCD" w:rsidRDefault="00305BCD" w:rsidP="00221354">
            <w:r>
              <w:t>4010-01-001 Part 2B Phase I Supportive: Same as above plus safety endpoints</w:t>
            </w:r>
          </w:p>
        </w:tc>
        <w:tc>
          <w:tcPr>
            <w:tcW w:w="1932" w:type="dxa"/>
          </w:tcPr>
          <w:p w14:paraId="408F9AAA" w14:textId="77777777" w:rsidR="00305BCD" w:rsidRDefault="00305BCD" w:rsidP="00C1651F">
            <w:r>
              <w:t>Yes:</w:t>
            </w:r>
          </w:p>
          <w:p w14:paraId="602D4333" w14:textId="77777777" w:rsidR="00305BCD" w:rsidRDefault="00305BCD" w:rsidP="00C1651F"/>
          <w:p w14:paraId="4377D464" w14:textId="77777777" w:rsidR="00305BCD" w:rsidRDefault="00305BCD" w:rsidP="00C1651F">
            <w:r>
              <w:t>Overall response rate (pivotal)</w:t>
            </w:r>
          </w:p>
          <w:p w14:paraId="671BEA80" w14:textId="77777777" w:rsidR="00305BCD" w:rsidRDefault="00305BCD" w:rsidP="00C1651F"/>
          <w:p w14:paraId="3500191A" w14:textId="77777777" w:rsidR="00305BCD" w:rsidRDefault="00305BCD" w:rsidP="00C1651F">
            <w:r>
              <w:t>Duration of response (pivotal)</w:t>
            </w:r>
          </w:p>
        </w:tc>
      </w:tr>
      <w:tr w:rsidR="00305BCD" w14:paraId="7B5DC1FF" w14:textId="77777777" w:rsidTr="009C0297">
        <w:tc>
          <w:tcPr>
            <w:tcW w:w="2673" w:type="dxa"/>
          </w:tcPr>
          <w:p w14:paraId="409762A5" w14:textId="77777777" w:rsidR="00305BCD" w:rsidRDefault="00305BCD" w:rsidP="00C1651F">
            <w:pPr>
              <w:rPr>
                <w:rStyle w:val="Emphasis"/>
                <w:rFonts w:cstheme="minorHAnsi"/>
                <w:b/>
                <w:i w:val="0"/>
                <w:color w:val="000000"/>
              </w:rPr>
            </w:pPr>
            <w:r>
              <w:rPr>
                <w:rStyle w:val="Emphasis"/>
                <w:rFonts w:cstheme="minorHAnsi"/>
                <w:b/>
                <w:i w:val="0"/>
                <w:color w:val="000000"/>
              </w:rPr>
              <w:lastRenderedPageBreak/>
              <w:t>rucaparib</w:t>
            </w:r>
          </w:p>
          <w:p w14:paraId="0AB01F3F" w14:textId="77777777" w:rsidR="00305BCD" w:rsidRDefault="00305BCD" w:rsidP="00C1651F">
            <w:pPr>
              <w:rPr>
                <w:rStyle w:val="Emphasis"/>
                <w:rFonts w:cstheme="minorHAnsi"/>
                <w:b/>
                <w:i w:val="0"/>
                <w:color w:val="000000"/>
              </w:rPr>
            </w:pPr>
          </w:p>
          <w:p w14:paraId="21AB7C6B" w14:textId="77777777" w:rsidR="00305BCD" w:rsidRDefault="00305BCD" w:rsidP="00C1651F">
            <w:pPr>
              <w:rPr>
                <w:rStyle w:val="Emphasis"/>
                <w:rFonts w:cstheme="minorHAnsi"/>
                <w:i w:val="0"/>
                <w:color w:val="000000"/>
              </w:rPr>
            </w:pPr>
            <w:r>
              <w:rPr>
                <w:rStyle w:val="Emphasis"/>
                <w:rFonts w:cstheme="minorHAnsi"/>
                <w:i w:val="0"/>
                <w:color w:val="000000"/>
              </w:rPr>
              <w:t>Rubraca</w:t>
            </w:r>
          </w:p>
          <w:p w14:paraId="4AD0E81E" w14:textId="77777777" w:rsidR="00305BCD" w:rsidRDefault="00305BCD" w:rsidP="00C1651F">
            <w:pPr>
              <w:rPr>
                <w:rStyle w:val="Emphasis"/>
                <w:rFonts w:cstheme="minorHAnsi"/>
                <w:i w:val="0"/>
                <w:color w:val="000000"/>
              </w:rPr>
            </w:pPr>
          </w:p>
          <w:p w14:paraId="4B65992B" w14:textId="77777777" w:rsidR="00305BCD" w:rsidRDefault="00305BCD" w:rsidP="00C1651F">
            <w:pPr>
              <w:rPr>
                <w:rStyle w:val="Emphasis"/>
                <w:rFonts w:cstheme="minorHAnsi"/>
                <w:i w:val="0"/>
                <w:color w:val="000000"/>
              </w:rPr>
            </w:pPr>
            <w:r>
              <w:rPr>
                <w:rStyle w:val="Emphasis"/>
                <w:rFonts w:cstheme="minorHAnsi"/>
                <w:i w:val="0"/>
                <w:color w:val="000000"/>
              </w:rPr>
              <w:t>CMA 24/05/18</w:t>
            </w:r>
          </w:p>
          <w:p w14:paraId="13B1F166" w14:textId="77777777" w:rsidR="00305BCD" w:rsidRDefault="00305BCD" w:rsidP="00C1651F">
            <w:pPr>
              <w:rPr>
                <w:rStyle w:val="Emphasis"/>
                <w:rFonts w:cstheme="minorHAnsi"/>
                <w:i w:val="0"/>
                <w:color w:val="000000"/>
              </w:rPr>
            </w:pPr>
          </w:p>
          <w:p w14:paraId="2C868350" w14:textId="77777777" w:rsidR="00305BCD" w:rsidRPr="00221354" w:rsidRDefault="00305BCD" w:rsidP="00C1651F">
            <w:pPr>
              <w:rPr>
                <w:rStyle w:val="Emphasis"/>
                <w:rFonts w:cstheme="minorHAnsi"/>
                <w:i w:val="0"/>
                <w:color w:val="000000"/>
              </w:rPr>
            </w:pPr>
            <w:r>
              <w:t>EMA/CHMP/238139/2018</w:t>
            </w:r>
          </w:p>
        </w:tc>
        <w:tc>
          <w:tcPr>
            <w:tcW w:w="3093" w:type="dxa"/>
          </w:tcPr>
          <w:p w14:paraId="3F6862D0" w14:textId="77777777" w:rsidR="00305BCD" w:rsidRDefault="00305BCD" w:rsidP="00C1651F">
            <w:r>
              <w:t>The revised applied indication for Rubraca is as monotherapy treatment of adult patients with platinum sensitive, relapsed or progressive, BRCA mutated (germline and/or somatic), high-grade epithelial ovarian, fallopian tube, or primary peritoneal cancer, who have been treated with two or more prior lines of platinum based chemotherapy, and who are unable to tolerate further platinum based chemotherapy.</w:t>
            </w:r>
          </w:p>
        </w:tc>
        <w:tc>
          <w:tcPr>
            <w:tcW w:w="3926" w:type="dxa"/>
          </w:tcPr>
          <w:p w14:paraId="22A39BBB" w14:textId="77777777" w:rsidR="00305BCD" w:rsidRDefault="00305BCD" w:rsidP="00C1651F">
            <w:r>
              <w:t>CO-338-010 Phase I/II Pivotal: The primary efficacy endpoint in Part 2A was ORR defined as best confirmed response according to RECIST Version 1.1.</w:t>
            </w:r>
          </w:p>
          <w:p w14:paraId="799A2A6C" w14:textId="77777777" w:rsidR="00305BCD" w:rsidRDefault="00305BCD" w:rsidP="00C1651F"/>
          <w:p w14:paraId="2A5A7B1B" w14:textId="77777777" w:rsidR="00305BCD" w:rsidRDefault="00305BCD" w:rsidP="00221354">
            <w:r>
              <w:t>CO-338-017 Phase II Pivotal: Part 1: The primary efficacy endpoint was PFS according to RECIST Version 1.1, as assessed by the investigator, or death from any cause, in molecularly defined HRD subgroups. Part 2: The primary efficacy endpoint was ORR by RECIST Version 1.1 in molecularly defined HRD subgroups.</w:t>
            </w:r>
          </w:p>
        </w:tc>
        <w:tc>
          <w:tcPr>
            <w:tcW w:w="1932" w:type="dxa"/>
          </w:tcPr>
          <w:p w14:paraId="6C3176AD" w14:textId="77777777" w:rsidR="00305BCD" w:rsidRDefault="00305BCD" w:rsidP="00C1651F">
            <w:r>
              <w:t>Yes:</w:t>
            </w:r>
          </w:p>
          <w:p w14:paraId="40A2A9B5" w14:textId="77777777" w:rsidR="00305BCD" w:rsidRDefault="00305BCD" w:rsidP="00C1651F"/>
          <w:p w14:paraId="3B555D18" w14:textId="77777777" w:rsidR="00305BCD" w:rsidRDefault="00305BCD" w:rsidP="00221354">
            <w:r>
              <w:t>Overall response rate (pivotal)</w:t>
            </w:r>
          </w:p>
          <w:p w14:paraId="54E1417A" w14:textId="77777777" w:rsidR="00305BCD" w:rsidRDefault="00305BCD" w:rsidP="00221354"/>
          <w:p w14:paraId="6099C467" w14:textId="77777777" w:rsidR="00305BCD" w:rsidRDefault="00305BCD" w:rsidP="00221354">
            <w:r>
              <w:t>Progression-free survival (pivotal)*</w:t>
            </w:r>
          </w:p>
          <w:p w14:paraId="06109084" w14:textId="77777777" w:rsidR="00305BCD" w:rsidRDefault="00305BCD" w:rsidP="00221354"/>
          <w:p w14:paraId="4484DD69" w14:textId="77777777" w:rsidR="00305BCD" w:rsidRDefault="00305BCD" w:rsidP="00221354">
            <w:r>
              <w:t>*Put as secondary endpoint in pooled analysis</w:t>
            </w:r>
          </w:p>
          <w:p w14:paraId="382EED98" w14:textId="77777777" w:rsidR="00305BCD" w:rsidRDefault="00305BCD" w:rsidP="00C1651F"/>
        </w:tc>
      </w:tr>
      <w:tr w:rsidR="00305BCD" w14:paraId="18AB2B19" w14:textId="77777777" w:rsidTr="009C0297">
        <w:tc>
          <w:tcPr>
            <w:tcW w:w="2673" w:type="dxa"/>
          </w:tcPr>
          <w:p w14:paraId="56E85569" w14:textId="77777777" w:rsidR="00305BCD" w:rsidRDefault="00305BCD" w:rsidP="00C1651F">
            <w:pPr>
              <w:rPr>
                <w:rStyle w:val="Emphasis"/>
                <w:rFonts w:cstheme="minorHAnsi"/>
                <w:b/>
                <w:i w:val="0"/>
                <w:color w:val="000000"/>
              </w:rPr>
            </w:pPr>
            <w:r w:rsidRPr="002E234B">
              <w:rPr>
                <w:rStyle w:val="Emphasis"/>
                <w:rFonts w:cstheme="minorHAnsi"/>
                <w:b/>
                <w:i w:val="0"/>
                <w:color w:val="000000"/>
              </w:rPr>
              <w:t>betibeglogene autotemcel</w:t>
            </w:r>
          </w:p>
          <w:p w14:paraId="2A218E10" w14:textId="77777777" w:rsidR="00305BCD" w:rsidRDefault="00305BCD" w:rsidP="00C1651F">
            <w:pPr>
              <w:rPr>
                <w:rStyle w:val="Emphasis"/>
                <w:rFonts w:cstheme="minorHAnsi"/>
                <w:b/>
                <w:i w:val="0"/>
                <w:color w:val="000000"/>
              </w:rPr>
            </w:pPr>
          </w:p>
          <w:p w14:paraId="6453CB62" w14:textId="77777777" w:rsidR="00305BCD" w:rsidRDefault="00305BCD" w:rsidP="00C1651F">
            <w:pPr>
              <w:rPr>
                <w:rStyle w:val="Emphasis"/>
                <w:rFonts w:cstheme="minorHAnsi"/>
                <w:i w:val="0"/>
                <w:color w:val="000000"/>
              </w:rPr>
            </w:pPr>
            <w:r>
              <w:rPr>
                <w:rStyle w:val="Emphasis"/>
                <w:rFonts w:cstheme="minorHAnsi"/>
                <w:i w:val="0"/>
                <w:color w:val="000000"/>
              </w:rPr>
              <w:t>Zynteglo</w:t>
            </w:r>
          </w:p>
          <w:p w14:paraId="7DAE6B0E" w14:textId="77777777" w:rsidR="00305BCD" w:rsidRDefault="00305BCD" w:rsidP="00C1651F">
            <w:pPr>
              <w:rPr>
                <w:rStyle w:val="Emphasis"/>
                <w:rFonts w:cstheme="minorHAnsi"/>
                <w:i w:val="0"/>
                <w:color w:val="000000"/>
              </w:rPr>
            </w:pPr>
          </w:p>
          <w:p w14:paraId="274DECFA" w14:textId="77777777" w:rsidR="00305BCD" w:rsidRDefault="00305BCD" w:rsidP="00C1651F">
            <w:r>
              <w:rPr>
                <w:rStyle w:val="Emphasis"/>
                <w:rFonts w:cstheme="minorHAnsi"/>
                <w:i w:val="0"/>
                <w:color w:val="000000"/>
              </w:rPr>
              <w:t>CMA 29/05/19</w:t>
            </w:r>
            <w:r>
              <w:t xml:space="preserve"> </w:t>
            </w:r>
          </w:p>
          <w:p w14:paraId="7388F414" w14:textId="77777777" w:rsidR="00305BCD" w:rsidRDefault="00305BCD" w:rsidP="00C1651F"/>
          <w:p w14:paraId="6808AB7C" w14:textId="77777777" w:rsidR="00305BCD" w:rsidRPr="00221354" w:rsidRDefault="00305BCD" w:rsidP="00C1651F">
            <w:pPr>
              <w:rPr>
                <w:rStyle w:val="Emphasis"/>
                <w:rFonts w:cstheme="minorHAnsi"/>
                <w:i w:val="0"/>
                <w:color w:val="000000"/>
              </w:rPr>
            </w:pPr>
            <w:r>
              <w:t>EMA/56140/2020/Corr.</w:t>
            </w:r>
          </w:p>
        </w:tc>
        <w:tc>
          <w:tcPr>
            <w:tcW w:w="3093" w:type="dxa"/>
          </w:tcPr>
          <w:p w14:paraId="2FA79694" w14:textId="77777777" w:rsidR="00305BCD" w:rsidRDefault="00305BCD" w:rsidP="00C1651F">
            <w:r>
              <w:t>Zynteglo is indicated for the treatment of patients 12 years and older with transfusiondependent β-thalassaemia (TDT) who do not have a β0/β0 genotype, for whom haematopoietic stem cell (HSC) transplantation is appropriate but a human leukocyte antigen (HLA)-matched related HSC donor is not available</w:t>
            </w:r>
          </w:p>
        </w:tc>
        <w:tc>
          <w:tcPr>
            <w:tcW w:w="3926" w:type="dxa"/>
          </w:tcPr>
          <w:p w14:paraId="4B488022" w14:textId="77777777" w:rsidR="00305BCD" w:rsidRDefault="00305BCD" w:rsidP="002E234B">
            <w:r>
              <w:t>HGB-204 Phase I/II, HGB-205 Phase I/II, HGB-207 Phase III Pivotal: The primary endpoint was similar for the pooled analyses with Studies HGB-204, HGB-205, and HGB207, and for study HGB-207: the proportion of patients who meet the definition of transfusion independence (TI).</w:t>
            </w:r>
          </w:p>
          <w:p w14:paraId="3768866C" w14:textId="77777777" w:rsidR="00305BCD" w:rsidRDefault="00305BCD" w:rsidP="002E234B"/>
          <w:p w14:paraId="3FF9B08E" w14:textId="77777777" w:rsidR="00305BCD" w:rsidRDefault="00305BCD" w:rsidP="002E234B">
            <w:pPr>
              <w:rPr>
                <w:rFonts w:cstheme="minorHAnsi"/>
                <w:color w:val="000000"/>
                <w:shd w:val="clear" w:color="auto" w:fill="FFFFFF"/>
              </w:rPr>
            </w:pPr>
            <w:r w:rsidRPr="00947FBD">
              <w:t xml:space="preserve">HGB-204: </w:t>
            </w:r>
            <w:r w:rsidRPr="00947FBD">
              <w:rPr>
                <w:rFonts w:cstheme="minorHAnsi"/>
                <w:color w:val="000000"/>
                <w:shd w:val="clear" w:color="auto" w:fill="FFFFFF"/>
              </w:rPr>
              <w:t>Percentage of Participants With Sustained Production of &gt;=2.0 Grams Per Deciliter (g/dL) of Hemoglobin A (HbA) Containing βA-T87Q-globin (HbAT87Q) for the Six Months Between Month 18 and Month 24</w:t>
            </w:r>
          </w:p>
          <w:p w14:paraId="68F710D3" w14:textId="77777777" w:rsidR="00305BCD" w:rsidRDefault="00305BCD" w:rsidP="002E234B">
            <w:pPr>
              <w:rPr>
                <w:rFonts w:cstheme="minorHAnsi"/>
                <w:color w:val="000000"/>
                <w:shd w:val="clear" w:color="auto" w:fill="FFFFFF"/>
              </w:rPr>
            </w:pPr>
          </w:p>
          <w:p w14:paraId="694D554D" w14:textId="77777777" w:rsidR="00305BCD" w:rsidRDefault="00305BCD" w:rsidP="00C1651F">
            <w:r>
              <w:t xml:space="preserve">LTF-303 Long-Term Supportive: Transfusion independence </w:t>
            </w:r>
          </w:p>
        </w:tc>
        <w:tc>
          <w:tcPr>
            <w:tcW w:w="1932" w:type="dxa"/>
          </w:tcPr>
          <w:p w14:paraId="56CE6554" w14:textId="77777777" w:rsidR="00305BCD" w:rsidRDefault="00305BCD" w:rsidP="00C1651F">
            <w:r>
              <w:t>Yes:</w:t>
            </w:r>
          </w:p>
          <w:p w14:paraId="4712391B" w14:textId="77777777" w:rsidR="00305BCD" w:rsidRDefault="00305BCD" w:rsidP="00C1651F"/>
          <w:p w14:paraId="2125A8BD" w14:textId="77777777" w:rsidR="00305BCD" w:rsidRDefault="00305BCD" w:rsidP="00C1651F">
            <w:r>
              <w:t>Transfusion independence proportion (pivotal)</w:t>
            </w:r>
          </w:p>
          <w:p w14:paraId="3CC70BAA" w14:textId="77777777" w:rsidR="00305BCD" w:rsidRDefault="00305BCD" w:rsidP="00C1651F"/>
          <w:p w14:paraId="3B174AA8" w14:textId="77777777" w:rsidR="00305BCD" w:rsidRDefault="00305BCD" w:rsidP="00947FBD">
            <w:r>
              <w:t>Proportion: production of at least 2 g/dL of HbAT87Q (pivotal)*</w:t>
            </w:r>
          </w:p>
          <w:p w14:paraId="0797D6F7" w14:textId="77777777" w:rsidR="00305BCD" w:rsidRDefault="00305BCD" w:rsidP="00947FBD"/>
          <w:p w14:paraId="671E8397" w14:textId="77777777" w:rsidR="00305BCD" w:rsidRDefault="00305BCD" w:rsidP="00221354">
            <w:r>
              <w:t>*Not primary endpoint in pooled analysis</w:t>
            </w:r>
          </w:p>
        </w:tc>
      </w:tr>
      <w:tr w:rsidR="00305BCD" w14:paraId="59FCF561" w14:textId="77777777" w:rsidTr="009C0297">
        <w:tc>
          <w:tcPr>
            <w:tcW w:w="2673" w:type="dxa"/>
          </w:tcPr>
          <w:p w14:paraId="79A11F7E" w14:textId="77777777" w:rsidR="00305BCD" w:rsidRDefault="00305BCD" w:rsidP="00C1651F">
            <w:pPr>
              <w:rPr>
                <w:rStyle w:val="Emphasis"/>
                <w:rFonts w:cstheme="minorHAnsi"/>
                <w:b/>
                <w:i w:val="0"/>
                <w:color w:val="000000"/>
              </w:rPr>
            </w:pPr>
            <w:r>
              <w:rPr>
                <w:rStyle w:val="Emphasis"/>
                <w:rFonts w:cstheme="minorHAnsi"/>
                <w:b/>
                <w:i w:val="0"/>
                <w:color w:val="000000"/>
              </w:rPr>
              <w:t>entrectinib</w:t>
            </w:r>
          </w:p>
          <w:p w14:paraId="35421491" w14:textId="77777777" w:rsidR="00305BCD" w:rsidRDefault="00305BCD" w:rsidP="00C1651F">
            <w:pPr>
              <w:rPr>
                <w:rStyle w:val="Emphasis"/>
                <w:rFonts w:cstheme="minorHAnsi"/>
                <w:b/>
                <w:i w:val="0"/>
                <w:color w:val="000000"/>
              </w:rPr>
            </w:pPr>
          </w:p>
          <w:p w14:paraId="431BD8D1" w14:textId="77777777" w:rsidR="00305BCD" w:rsidRDefault="00305BCD" w:rsidP="00C1651F">
            <w:pPr>
              <w:rPr>
                <w:rStyle w:val="Emphasis"/>
                <w:rFonts w:cstheme="minorHAnsi"/>
                <w:i w:val="0"/>
                <w:color w:val="000000"/>
              </w:rPr>
            </w:pPr>
            <w:r>
              <w:rPr>
                <w:rStyle w:val="Emphasis"/>
                <w:rFonts w:cstheme="minorHAnsi"/>
                <w:i w:val="0"/>
                <w:color w:val="000000"/>
              </w:rPr>
              <w:t>Rozlytrek</w:t>
            </w:r>
          </w:p>
          <w:p w14:paraId="1E59911C" w14:textId="77777777" w:rsidR="00305BCD" w:rsidRDefault="00305BCD" w:rsidP="00C1651F">
            <w:pPr>
              <w:rPr>
                <w:rStyle w:val="Emphasis"/>
                <w:rFonts w:cstheme="minorHAnsi"/>
                <w:i w:val="0"/>
                <w:color w:val="000000"/>
              </w:rPr>
            </w:pPr>
          </w:p>
          <w:p w14:paraId="6D20A813" w14:textId="77777777" w:rsidR="00305BCD" w:rsidRDefault="00305BCD" w:rsidP="00C1651F">
            <w:pPr>
              <w:rPr>
                <w:rStyle w:val="Emphasis"/>
                <w:rFonts w:cstheme="minorHAnsi"/>
                <w:i w:val="0"/>
                <w:color w:val="000000"/>
              </w:rPr>
            </w:pPr>
            <w:r>
              <w:rPr>
                <w:rStyle w:val="Emphasis"/>
                <w:rFonts w:cstheme="minorHAnsi"/>
                <w:i w:val="0"/>
                <w:color w:val="000000"/>
              </w:rPr>
              <w:t>CMA 31/07/20</w:t>
            </w:r>
          </w:p>
          <w:p w14:paraId="18DCD6FE" w14:textId="77777777" w:rsidR="00305BCD" w:rsidRDefault="00305BCD" w:rsidP="00C1651F">
            <w:pPr>
              <w:rPr>
                <w:rStyle w:val="Emphasis"/>
                <w:rFonts w:cstheme="minorHAnsi"/>
                <w:i w:val="0"/>
                <w:color w:val="000000"/>
              </w:rPr>
            </w:pPr>
          </w:p>
          <w:p w14:paraId="6B308BF0" w14:textId="77777777" w:rsidR="00305BCD" w:rsidRPr="002E234B" w:rsidRDefault="00305BCD" w:rsidP="00C1651F">
            <w:pPr>
              <w:rPr>
                <w:rStyle w:val="Emphasis"/>
                <w:rFonts w:cstheme="minorHAnsi"/>
                <w:i w:val="0"/>
                <w:color w:val="000000"/>
              </w:rPr>
            </w:pPr>
            <w:r>
              <w:t>EMA/379739/2020</w:t>
            </w:r>
          </w:p>
        </w:tc>
        <w:tc>
          <w:tcPr>
            <w:tcW w:w="3093" w:type="dxa"/>
          </w:tcPr>
          <w:p w14:paraId="407562D5" w14:textId="77777777" w:rsidR="00305BCD" w:rsidRDefault="00305BCD" w:rsidP="00C1651F">
            <w:r>
              <w:t xml:space="preserve">Rozlytrek as monotherapy is indicated for the treatment of adult and paediatric patients 12 years of age and older, with solid tumours that have a neurotrophic tyrosine receptor kinase (NTRK) gene fusion, </w:t>
            </w:r>
          </w:p>
          <w:p w14:paraId="725D6DE7" w14:textId="468D3C77" w:rsidR="00305BCD" w:rsidRDefault="00305BCD" w:rsidP="00C1651F">
            <w:r>
              <w:t xml:space="preserve">- who have a disease that is locally advanced, </w:t>
            </w:r>
            <w:r w:rsidR="003D5E73">
              <w:t>f</w:t>
            </w:r>
            <w:r>
              <w:t xml:space="preserve"> or where surgical resection is likely to result in severe morbidity, and</w:t>
            </w:r>
          </w:p>
          <w:p w14:paraId="054E1FAC" w14:textId="77777777" w:rsidR="00305BCD" w:rsidRDefault="00305BCD" w:rsidP="00C1651F">
            <w:r>
              <w:t xml:space="preserve">- who have not received a prior NTRK inhibitor </w:t>
            </w:r>
          </w:p>
          <w:p w14:paraId="2121BA91" w14:textId="77777777" w:rsidR="00305BCD" w:rsidRDefault="00305BCD" w:rsidP="00C1651F">
            <w:r>
              <w:t xml:space="preserve">- who have no satisfactory treatment options (see sections 4.4 and 5.1). </w:t>
            </w:r>
          </w:p>
          <w:p w14:paraId="25FEFF2E" w14:textId="77777777" w:rsidR="00305BCD" w:rsidRDefault="00305BCD" w:rsidP="00C1651F"/>
          <w:p w14:paraId="42904B85" w14:textId="77777777" w:rsidR="00305BCD" w:rsidRDefault="00305BCD" w:rsidP="00C1651F">
            <w:r>
              <w:t>Rozlytrek as monotherapy is indicated for the treatment of adult patients with ROS1-positive, advanced non-small cell lung cancer (NSCLC) not previously treated with ROS1 inhibitors</w:t>
            </w:r>
          </w:p>
        </w:tc>
        <w:tc>
          <w:tcPr>
            <w:tcW w:w="3926" w:type="dxa"/>
          </w:tcPr>
          <w:p w14:paraId="34AE15EB" w14:textId="77777777" w:rsidR="00305BCD" w:rsidRDefault="00305BCD" w:rsidP="00C1651F">
            <w:r>
              <w:t>GO40782 Phase II Pivotal: ORR (confirmed response = persisted on repeated-imaging≥4 weeks after initial documentation of response)</w:t>
            </w:r>
          </w:p>
          <w:p w14:paraId="158BA1BB" w14:textId="77777777" w:rsidR="00305BCD" w:rsidRDefault="00305BCD" w:rsidP="00C1651F"/>
          <w:p w14:paraId="28C82FBE" w14:textId="77777777" w:rsidR="00305BCD" w:rsidRDefault="00305BCD" w:rsidP="00C1651F">
            <w:r>
              <w:t>Integrated efficacy analysis (above study, ALKA, STARTRK-1): primary endpoints ORR, BOR, DOR</w:t>
            </w:r>
          </w:p>
        </w:tc>
        <w:tc>
          <w:tcPr>
            <w:tcW w:w="1932" w:type="dxa"/>
          </w:tcPr>
          <w:p w14:paraId="22DC5754" w14:textId="77777777" w:rsidR="00305BCD" w:rsidRDefault="00305BCD" w:rsidP="00C1651F">
            <w:r>
              <w:t>Yes:</w:t>
            </w:r>
          </w:p>
          <w:p w14:paraId="7A0EFA0B" w14:textId="77777777" w:rsidR="00305BCD" w:rsidRDefault="00305BCD" w:rsidP="00C1651F"/>
          <w:p w14:paraId="2B9B719B" w14:textId="77777777" w:rsidR="00305BCD" w:rsidRDefault="00305BCD" w:rsidP="00C1651F">
            <w:r>
              <w:t>Overall response rate (pivotal)</w:t>
            </w:r>
          </w:p>
          <w:p w14:paraId="056219A9" w14:textId="77777777" w:rsidR="00305BCD" w:rsidRDefault="00305BCD" w:rsidP="00C1651F"/>
          <w:p w14:paraId="1F7F0D69" w14:textId="77777777" w:rsidR="00305BCD" w:rsidRDefault="00305BCD" w:rsidP="00C1651F">
            <w:r>
              <w:t>Best overall response (pivotal)</w:t>
            </w:r>
          </w:p>
          <w:p w14:paraId="683244A4" w14:textId="77777777" w:rsidR="00305BCD" w:rsidRDefault="00305BCD" w:rsidP="00C1651F"/>
          <w:p w14:paraId="6B803D10" w14:textId="77777777" w:rsidR="00305BCD" w:rsidRDefault="00305BCD" w:rsidP="00C1651F">
            <w:r>
              <w:t>Duration of response (pivotal)</w:t>
            </w:r>
          </w:p>
          <w:p w14:paraId="31B387D3" w14:textId="77777777" w:rsidR="00305BCD" w:rsidRDefault="00305BCD" w:rsidP="00C1651F"/>
          <w:p w14:paraId="4F6E6A9D" w14:textId="77777777" w:rsidR="00305BCD" w:rsidRDefault="00305BCD" w:rsidP="00947FBD"/>
        </w:tc>
      </w:tr>
      <w:tr w:rsidR="00305BCD" w14:paraId="018EC2C0" w14:textId="77777777" w:rsidTr="009C0297">
        <w:tc>
          <w:tcPr>
            <w:tcW w:w="2673" w:type="dxa"/>
          </w:tcPr>
          <w:p w14:paraId="585E7D1A" w14:textId="77777777" w:rsidR="00305BCD" w:rsidRDefault="00305BCD" w:rsidP="00C1651F">
            <w:pPr>
              <w:rPr>
                <w:rStyle w:val="Emphasis"/>
                <w:rFonts w:cstheme="minorHAnsi"/>
                <w:b/>
                <w:i w:val="0"/>
                <w:color w:val="000000"/>
              </w:rPr>
            </w:pPr>
            <w:r w:rsidRPr="00947FBD">
              <w:rPr>
                <w:rStyle w:val="Emphasis"/>
                <w:rFonts w:cstheme="minorHAnsi"/>
                <w:b/>
                <w:i w:val="0"/>
                <w:color w:val="000000"/>
              </w:rPr>
              <w:lastRenderedPageBreak/>
              <w:t>COVID-19 Vaccine (ChAdOx1-S [recombinant])</w:t>
            </w:r>
          </w:p>
          <w:p w14:paraId="3BF239BE" w14:textId="77777777" w:rsidR="00305BCD" w:rsidRDefault="00305BCD" w:rsidP="00C1651F">
            <w:pPr>
              <w:rPr>
                <w:rStyle w:val="Emphasis"/>
                <w:rFonts w:cstheme="minorHAnsi"/>
                <w:b/>
                <w:i w:val="0"/>
                <w:color w:val="000000"/>
              </w:rPr>
            </w:pPr>
          </w:p>
          <w:p w14:paraId="569E0C0F" w14:textId="77777777" w:rsidR="00305BCD" w:rsidRDefault="00305BCD" w:rsidP="00C1651F">
            <w:pPr>
              <w:rPr>
                <w:rStyle w:val="Emphasis"/>
                <w:rFonts w:cstheme="minorHAnsi"/>
                <w:i w:val="0"/>
                <w:color w:val="000000"/>
              </w:rPr>
            </w:pPr>
            <w:r>
              <w:rPr>
                <w:rStyle w:val="Emphasis"/>
                <w:rFonts w:cstheme="minorHAnsi"/>
                <w:i w:val="0"/>
                <w:color w:val="000000"/>
              </w:rPr>
              <w:t>Vaxzevria</w:t>
            </w:r>
          </w:p>
          <w:p w14:paraId="084173B8" w14:textId="77777777" w:rsidR="00305BCD" w:rsidRDefault="00305BCD" w:rsidP="00C1651F">
            <w:pPr>
              <w:rPr>
                <w:rStyle w:val="Emphasis"/>
                <w:rFonts w:cstheme="minorHAnsi"/>
                <w:i w:val="0"/>
                <w:color w:val="000000"/>
              </w:rPr>
            </w:pPr>
          </w:p>
          <w:p w14:paraId="52010C45" w14:textId="77777777" w:rsidR="00305BCD" w:rsidRDefault="00305BCD" w:rsidP="00C1651F">
            <w:pPr>
              <w:rPr>
                <w:rStyle w:val="Emphasis"/>
                <w:rFonts w:cstheme="minorHAnsi"/>
                <w:i w:val="0"/>
                <w:color w:val="000000"/>
              </w:rPr>
            </w:pPr>
            <w:r>
              <w:rPr>
                <w:rStyle w:val="Emphasis"/>
                <w:rFonts w:cstheme="minorHAnsi"/>
                <w:i w:val="0"/>
                <w:color w:val="000000"/>
              </w:rPr>
              <w:t>CMA 29/01/21</w:t>
            </w:r>
          </w:p>
          <w:p w14:paraId="0D409646" w14:textId="77777777" w:rsidR="00305BCD" w:rsidRDefault="00305BCD" w:rsidP="00C1651F">
            <w:pPr>
              <w:rPr>
                <w:rStyle w:val="Emphasis"/>
                <w:rFonts w:cstheme="minorHAnsi"/>
                <w:i w:val="0"/>
                <w:color w:val="000000"/>
              </w:rPr>
            </w:pPr>
          </w:p>
          <w:p w14:paraId="01D1C1CB" w14:textId="77777777" w:rsidR="00305BCD" w:rsidRPr="00947FBD" w:rsidRDefault="00305BCD" w:rsidP="00C1651F">
            <w:pPr>
              <w:rPr>
                <w:rStyle w:val="Emphasis"/>
                <w:rFonts w:cstheme="minorHAnsi"/>
                <w:i w:val="0"/>
                <w:color w:val="000000"/>
              </w:rPr>
            </w:pPr>
            <w:r>
              <w:t>EMA/94907/2021</w:t>
            </w:r>
          </w:p>
        </w:tc>
        <w:tc>
          <w:tcPr>
            <w:tcW w:w="3093" w:type="dxa"/>
          </w:tcPr>
          <w:p w14:paraId="67042B5C" w14:textId="77777777" w:rsidR="00305BCD" w:rsidRDefault="00305BCD" w:rsidP="00C1651F">
            <w:r>
              <w:t>The claimed indication for AZD1222 vaccine is active immunisation of individuals ≥18 years of age to prevent coronavirus disease 2019 (COVID-19).</w:t>
            </w:r>
          </w:p>
        </w:tc>
        <w:tc>
          <w:tcPr>
            <w:tcW w:w="3926" w:type="dxa"/>
          </w:tcPr>
          <w:p w14:paraId="2600657B" w14:textId="77777777" w:rsidR="00305BCD" w:rsidRDefault="00305BCD" w:rsidP="00C1651F">
            <w:r>
              <w:t>COV001 Phase I/II Pivotal: Virologically-confirmed symptomatic cases of COVID-19</w:t>
            </w:r>
          </w:p>
          <w:p w14:paraId="7841F03A" w14:textId="77777777" w:rsidR="00305BCD" w:rsidRDefault="00305BCD" w:rsidP="00C1651F"/>
          <w:p w14:paraId="14A9EB64" w14:textId="77777777" w:rsidR="00305BCD" w:rsidRDefault="00305BCD" w:rsidP="00C1651F">
            <w:r>
              <w:t>COV002 Phase II/III, COV003 Phase III Pivotal: The primary efficacy endpoint was the incidence of COVID-19 obtained by measuring the first case of SARSCoV-2 virologically-confirmed COVID-19 occurring ≥ 15 days post second dose of study intervention, with at least one of the following symptoms: objective fever (defined as ≥ 37.8°C), cough, shortness of breath, anosmia, or ageusia.</w:t>
            </w:r>
          </w:p>
          <w:p w14:paraId="55B81ACB" w14:textId="77777777" w:rsidR="00305BCD" w:rsidRDefault="00305BCD" w:rsidP="00C1651F"/>
          <w:p w14:paraId="12E8B1D2" w14:textId="77777777" w:rsidR="00305BCD" w:rsidRDefault="00305BCD" w:rsidP="00947FBD">
            <w:r>
              <w:t>COV005 Phase I/II Pivotal: efficacy not included in MAA</w:t>
            </w:r>
          </w:p>
        </w:tc>
        <w:tc>
          <w:tcPr>
            <w:tcW w:w="1932" w:type="dxa"/>
          </w:tcPr>
          <w:p w14:paraId="03FA7120" w14:textId="77777777" w:rsidR="00305BCD" w:rsidRDefault="00305BCD" w:rsidP="00C1651F">
            <w:r>
              <w:t>Yes:</w:t>
            </w:r>
          </w:p>
          <w:p w14:paraId="39D29611" w14:textId="77777777" w:rsidR="00305BCD" w:rsidRDefault="00305BCD" w:rsidP="00C1651F"/>
          <w:p w14:paraId="5ED3E1EA" w14:textId="77777777" w:rsidR="00305BCD" w:rsidRDefault="00305BCD" w:rsidP="00C1651F">
            <w:r>
              <w:t>Incidence of COVID-19 at least 15 days post second dose (pivotal)</w:t>
            </w:r>
          </w:p>
        </w:tc>
      </w:tr>
      <w:tr w:rsidR="00305BCD" w14:paraId="0C014777" w14:textId="77777777" w:rsidTr="009C0297">
        <w:tc>
          <w:tcPr>
            <w:tcW w:w="2673" w:type="dxa"/>
          </w:tcPr>
          <w:p w14:paraId="5CD1F313" w14:textId="77777777" w:rsidR="00305BCD" w:rsidRDefault="00305BCD" w:rsidP="00C1651F">
            <w:pPr>
              <w:rPr>
                <w:rStyle w:val="Emphasis"/>
                <w:rFonts w:cstheme="minorHAnsi"/>
                <w:b/>
                <w:i w:val="0"/>
                <w:color w:val="000000"/>
              </w:rPr>
            </w:pPr>
            <w:r>
              <w:rPr>
                <w:rStyle w:val="Emphasis"/>
                <w:rFonts w:cstheme="minorHAnsi"/>
                <w:b/>
                <w:i w:val="0"/>
                <w:color w:val="000000"/>
              </w:rPr>
              <w:t>bedaquiline</w:t>
            </w:r>
          </w:p>
          <w:p w14:paraId="7D670A00" w14:textId="77777777" w:rsidR="00305BCD" w:rsidRDefault="00305BCD" w:rsidP="00C1651F">
            <w:pPr>
              <w:rPr>
                <w:rStyle w:val="Emphasis"/>
                <w:rFonts w:cstheme="minorHAnsi"/>
                <w:b/>
                <w:i w:val="0"/>
                <w:color w:val="000000"/>
              </w:rPr>
            </w:pPr>
          </w:p>
          <w:p w14:paraId="74F78F18" w14:textId="77777777" w:rsidR="00305BCD" w:rsidRDefault="00305BCD" w:rsidP="00C1651F">
            <w:pPr>
              <w:rPr>
                <w:rStyle w:val="Emphasis"/>
                <w:rFonts w:cstheme="minorHAnsi"/>
                <w:i w:val="0"/>
                <w:color w:val="000000"/>
              </w:rPr>
            </w:pPr>
            <w:r>
              <w:rPr>
                <w:rStyle w:val="Emphasis"/>
                <w:rFonts w:cstheme="minorHAnsi"/>
                <w:i w:val="0"/>
                <w:color w:val="000000"/>
              </w:rPr>
              <w:t>Sirturo</w:t>
            </w:r>
          </w:p>
          <w:p w14:paraId="5839778A" w14:textId="77777777" w:rsidR="00305BCD" w:rsidRDefault="00305BCD" w:rsidP="00C1651F">
            <w:pPr>
              <w:rPr>
                <w:rStyle w:val="Emphasis"/>
                <w:rFonts w:cstheme="minorHAnsi"/>
                <w:i w:val="0"/>
                <w:color w:val="000000"/>
              </w:rPr>
            </w:pPr>
          </w:p>
          <w:p w14:paraId="2FABD1A9" w14:textId="77777777" w:rsidR="00305BCD" w:rsidRDefault="00305BCD" w:rsidP="00C1651F">
            <w:pPr>
              <w:rPr>
                <w:rStyle w:val="Emphasis"/>
                <w:rFonts w:cstheme="minorHAnsi"/>
                <w:i w:val="0"/>
                <w:color w:val="000000"/>
              </w:rPr>
            </w:pPr>
            <w:r>
              <w:rPr>
                <w:rStyle w:val="Emphasis"/>
                <w:rFonts w:cstheme="minorHAnsi"/>
                <w:i w:val="0"/>
                <w:color w:val="000000"/>
              </w:rPr>
              <w:t>CMA 05/03/14</w:t>
            </w:r>
          </w:p>
          <w:p w14:paraId="6D9702C7" w14:textId="77777777" w:rsidR="00305BCD" w:rsidRDefault="00305BCD" w:rsidP="00C1651F">
            <w:pPr>
              <w:rPr>
                <w:rStyle w:val="Emphasis"/>
                <w:rFonts w:cstheme="minorHAnsi"/>
                <w:i w:val="0"/>
                <w:color w:val="000000"/>
              </w:rPr>
            </w:pPr>
          </w:p>
          <w:p w14:paraId="555289F2" w14:textId="77777777" w:rsidR="00305BCD" w:rsidRPr="00947FBD" w:rsidRDefault="00305BCD" w:rsidP="00C1651F">
            <w:pPr>
              <w:rPr>
                <w:rStyle w:val="Emphasis"/>
                <w:rFonts w:cstheme="minorHAnsi"/>
                <w:i w:val="0"/>
                <w:color w:val="000000"/>
              </w:rPr>
            </w:pPr>
            <w:r>
              <w:t>EMA/CHMP/329898/2013</w:t>
            </w:r>
          </w:p>
        </w:tc>
        <w:tc>
          <w:tcPr>
            <w:tcW w:w="3093" w:type="dxa"/>
          </w:tcPr>
          <w:p w14:paraId="5A82FA47" w14:textId="77777777" w:rsidR="00305BCD" w:rsidRDefault="00305BCD" w:rsidP="00C1651F">
            <w:r>
              <w:t>SIRTURO is indicated for use as part of an appropriate combination regimen for pulmonary multidrug resistant tuberculosis (MDR TB) in adult patients when an effective treatment regimen cannot otherwise be composed for reasons of resistance or tolerability</w:t>
            </w:r>
          </w:p>
        </w:tc>
        <w:tc>
          <w:tcPr>
            <w:tcW w:w="3926" w:type="dxa"/>
          </w:tcPr>
          <w:p w14:paraId="6DC86F2D" w14:textId="77777777" w:rsidR="00305BCD" w:rsidRDefault="00305BCD" w:rsidP="00C1651F">
            <w:r>
              <w:t>C208 Phase II Pivotal: The primary efficacy endpoint was time to sputum culture conversion (SCC) during treatment with bedaquiline or placebo. This parameter was based on the qualitative assessment of culture growth in MGIT using spot sputum samples.</w:t>
            </w:r>
          </w:p>
          <w:p w14:paraId="3D5DF514" w14:textId="77777777" w:rsidR="00305BCD" w:rsidRDefault="00305BCD" w:rsidP="00C1651F"/>
          <w:p w14:paraId="588FD11D" w14:textId="77777777" w:rsidR="00305BCD" w:rsidRDefault="00305BCD" w:rsidP="00C1651F">
            <w:r>
              <w:t>C209 Phase IIb Supportive: Same as above.</w:t>
            </w:r>
          </w:p>
        </w:tc>
        <w:tc>
          <w:tcPr>
            <w:tcW w:w="1932" w:type="dxa"/>
          </w:tcPr>
          <w:p w14:paraId="20561F00" w14:textId="77777777" w:rsidR="00305BCD" w:rsidRDefault="00305BCD" w:rsidP="00C1651F">
            <w:r>
              <w:t>Yes:</w:t>
            </w:r>
          </w:p>
          <w:p w14:paraId="22F01832" w14:textId="77777777" w:rsidR="00305BCD" w:rsidRDefault="00305BCD" w:rsidP="00C1651F"/>
          <w:p w14:paraId="6FDCFDCB" w14:textId="77777777" w:rsidR="00305BCD" w:rsidRDefault="00305BCD" w:rsidP="00C1651F">
            <w:r>
              <w:t>Time to sputum culture conversion (pivotal)</w:t>
            </w:r>
          </w:p>
        </w:tc>
      </w:tr>
      <w:tr w:rsidR="00305BCD" w14:paraId="2207032F" w14:textId="77777777" w:rsidTr="009C0297">
        <w:tc>
          <w:tcPr>
            <w:tcW w:w="2673" w:type="dxa"/>
          </w:tcPr>
          <w:p w14:paraId="281F574E" w14:textId="77777777" w:rsidR="00305BCD" w:rsidRDefault="00305BCD" w:rsidP="00C1651F">
            <w:pPr>
              <w:rPr>
                <w:rStyle w:val="Emphasis"/>
                <w:rFonts w:cstheme="minorHAnsi"/>
                <w:b/>
                <w:i w:val="0"/>
                <w:color w:val="000000"/>
              </w:rPr>
            </w:pPr>
            <w:r w:rsidRPr="005376AE">
              <w:rPr>
                <w:rStyle w:val="Emphasis"/>
                <w:rFonts w:cstheme="minorHAnsi"/>
                <w:b/>
                <w:i w:val="0"/>
                <w:color w:val="000000"/>
              </w:rPr>
              <w:t>Autologous peripheral blood T cells CD4 and CD8 selected and CD3 and CD28 activated transduced with retroviral vector expressing anti-CD19 CD28/CD3-zeta chimeric antigen receptor and cultured</w:t>
            </w:r>
          </w:p>
          <w:p w14:paraId="55651238" w14:textId="77777777" w:rsidR="00305BCD" w:rsidRDefault="00305BCD" w:rsidP="00C1651F">
            <w:pPr>
              <w:rPr>
                <w:rStyle w:val="Emphasis"/>
                <w:rFonts w:cstheme="minorHAnsi"/>
                <w:b/>
                <w:i w:val="0"/>
                <w:color w:val="000000"/>
              </w:rPr>
            </w:pPr>
          </w:p>
          <w:p w14:paraId="2178C1BE" w14:textId="77777777" w:rsidR="00305BCD" w:rsidRDefault="00305BCD" w:rsidP="00C1651F">
            <w:pPr>
              <w:rPr>
                <w:rStyle w:val="Emphasis"/>
                <w:rFonts w:cstheme="minorHAnsi"/>
                <w:i w:val="0"/>
                <w:color w:val="000000"/>
              </w:rPr>
            </w:pPr>
            <w:r>
              <w:rPr>
                <w:rStyle w:val="Emphasis"/>
                <w:rFonts w:cstheme="minorHAnsi"/>
                <w:i w:val="0"/>
                <w:color w:val="000000"/>
              </w:rPr>
              <w:t>Tecartus</w:t>
            </w:r>
          </w:p>
          <w:p w14:paraId="30AD4FDF" w14:textId="77777777" w:rsidR="00305BCD" w:rsidRDefault="00305BCD" w:rsidP="00C1651F">
            <w:pPr>
              <w:rPr>
                <w:rStyle w:val="Emphasis"/>
                <w:rFonts w:cstheme="minorHAnsi"/>
                <w:i w:val="0"/>
                <w:color w:val="000000"/>
              </w:rPr>
            </w:pPr>
          </w:p>
          <w:p w14:paraId="03DDDA2F" w14:textId="77777777" w:rsidR="00305BCD" w:rsidRDefault="00305BCD" w:rsidP="00C1651F">
            <w:pPr>
              <w:rPr>
                <w:rStyle w:val="Emphasis"/>
                <w:rFonts w:cstheme="minorHAnsi"/>
                <w:i w:val="0"/>
                <w:color w:val="000000"/>
              </w:rPr>
            </w:pPr>
            <w:r>
              <w:rPr>
                <w:rStyle w:val="Emphasis"/>
                <w:rFonts w:cstheme="minorHAnsi"/>
                <w:i w:val="0"/>
                <w:color w:val="000000"/>
              </w:rPr>
              <w:t>CMA 14/12/20</w:t>
            </w:r>
          </w:p>
          <w:p w14:paraId="7107EB14" w14:textId="77777777" w:rsidR="00305BCD" w:rsidRDefault="00305BCD" w:rsidP="00C1651F">
            <w:pPr>
              <w:rPr>
                <w:rStyle w:val="Emphasis"/>
                <w:rFonts w:cstheme="minorHAnsi"/>
                <w:i w:val="0"/>
                <w:color w:val="000000"/>
              </w:rPr>
            </w:pPr>
          </w:p>
          <w:p w14:paraId="57D24C56" w14:textId="77777777" w:rsidR="00305BCD" w:rsidRPr="005376AE" w:rsidRDefault="00305BCD" w:rsidP="00C1651F">
            <w:pPr>
              <w:rPr>
                <w:rStyle w:val="Emphasis"/>
                <w:rFonts w:cstheme="minorHAnsi"/>
                <w:i w:val="0"/>
                <w:color w:val="000000"/>
              </w:rPr>
            </w:pPr>
            <w:r>
              <w:t>EMA/588798/2020</w:t>
            </w:r>
          </w:p>
        </w:tc>
        <w:tc>
          <w:tcPr>
            <w:tcW w:w="3093" w:type="dxa"/>
          </w:tcPr>
          <w:p w14:paraId="39C752A3" w14:textId="77777777" w:rsidR="00305BCD" w:rsidRDefault="00305BCD" w:rsidP="00C1651F">
            <w:r>
              <w:t>[T]reatment of adult patients with relapsed or refractory mantle cell lymphoma (MCL) after two or more lines of systemic therapy including a Bruton’s tyrosine kinase (BTK) inhibitor.</w:t>
            </w:r>
          </w:p>
        </w:tc>
        <w:tc>
          <w:tcPr>
            <w:tcW w:w="3926" w:type="dxa"/>
          </w:tcPr>
          <w:p w14:paraId="2EBA176D" w14:textId="77777777" w:rsidR="00305BCD" w:rsidRDefault="00305BCD" w:rsidP="00C1651F">
            <w:r>
              <w:t>ZUMA-2 Phase II Pivotal: ORR, defined as CR or PR using central assessment per Lugano Classification (Cheson 2014)</w:t>
            </w:r>
          </w:p>
          <w:p w14:paraId="34216CC4" w14:textId="77777777" w:rsidR="00305BCD" w:rsidRDefault="00305BCD" w:rsidP="00C1651F"/>
          <w:p w14:paraId="01566F94" w14:textId="77777777" w:rsidR="00305BCD" w:rsidRDefault="00305BCD" w:rsidP="00C1651F">
            <w:r>
              <w:t>Meta-Analysis Supportive</w:t>
            </w:r>
          </w:p>
          <w:p w14:paraId="6C03221B" w14:textId="77777777" w:rsidR="00305BCD" w:rsidRDefault="00305BCD" w:rsidP="00C1651F"/>
        </w:tc>
        <w:tc>
          <w:tcPr>
            <w:tcW w:w="1932" w:type="dxa"/>
          </w:tcPr>
          <w:p w14:paraId="4F405F7E" w14:textId="77777777" w:rsidR="00305BCD" w:rsidRDefault="00305BCD" w:rsidP="00C1651F">
            <w:r>
              <w:t>Yes:</w:t>
            </w:r>
          </w:p>
          <w:p w14:paraId="739C498D" w14:textId="77777777" w:rsidR="00305BCD" w:rsidRDefault="00305BCD" w:rsidP="00C1651F"/>
          <w:p w14:paraId="4DBE8BD3" w14:textId="77777777" w:rsidR="00305BCD" w:rsidRDefault="00305BCD" w:rsidP="00C1651F">
            <w:r>
              <w:t>Objective response rate (pivotal)</w:t>
            </w:r>
          </w:p>
        </w:tc>
      </w:tr>
      <w:tr w:rsidR="00305BCD" w14:paraId="1F250578" w14:textId="77777777" w:rsidTr="009C0297">
        <w:tc>
          <w:tcPr>
            <w:tcW w:w="2673" w:type="dxa"/>
          </w:tcPr>
          <w:p w14:paraId="0211DA46" w14:textId="77777777" w:rsidR="00305BCD" w:rsidRDefault="00305BCD" w:rsidP="00BD5E90">
            <w:pPr>
              <w:rPr>
                <w:rStyle w:val="Emphasis"/>
                <w:rFonts w:cstheme="minorHAnsi"/>
                <w:b/>
                <w:i w:val="0"/>
                <w:color w:val="000000"/>
              </w:rPr>
            </w:pPr>
            <w:r>
              <w:rPr>
                <w:rStyle w:val="Emphasis"/>
                <w:rFonts w:cstheme="minorHAnsi"/>
                <w:b/>
                <w:i w:val="0"/>
                <w:color w:val="000000"/>
              </w:rPr>
              <w:t>imlifidase</w:t>
            </w:r>
          </w:p>
          <w:p w14:paraId="01EF6BC0" w14:textId="77777777" w:rsidR="00305BCD" w:rsidRDefault="00305BCD" w:rsidP="00BD5E90">
            <w:pPr>
              <w:rPr>
                <w:rStyle w:val="Emphasis"/>
                <w:rFonts w:cstheme="minorHAnsi"/>
                <w:b/>
                <w:i w:val="0"/>
                <w:color w:val="000000"/>
              </w:rPr>
            </w:pPr>
          </w:p>
          <w:p w14:paraId="590560B2" w14:textId="77777777" w:rsidR="00305BCD" w:rsidRDefault="00305BCD" w:rsidP="00BD5E90">
            <w:pPr>
              <w:rPr>
                <w:rStyle w:val="Emphasis"/>
                <w:rFonts w:cstheme="minorHAnsi"/>
                <w:i w:val="0"/>
                <w:color w:val="000000"/>
              </w:rPr>
            </w:pPr>
            <w:r>
              <w:rPr>
                <w:rStyle w:val="Emphasis"/>
                <w:rFonts w:cstheme="minorHAnsi"/>
                <w:i w:val="0"/>
                <w:color w:val="000000"/>
              </w:rPr>
              <w:t>Idefirix</w:t>
            </w:r>
          </w:p>
          <w:p w14:paraId="3E5B6321" w14:textId="77777777" w:rsidR="00305BCD" w:rsidRDefault="00305BCD" w:rsidP="00BD5E90">
            <w:pPr>
              <w:rPr>
                <w:rStyle w:val="Emphasis"/>
                <w:rFonts w:cstheme="minorHAnsi"/>
                <w:i w:val="0"/>
                <w:color w:val="000000"/>
              </w:rPr>
            </w:pPr>
          </w:p>
          <w:p w14:paraId="52F6AC59" w14:textId="77777777" w:rsidR="00305BCD" w:rsidRDefault="00305BCD" w:rsidP="00BD5E90">
            <w:pPr>
              <w:rPr>
                <w:rStyle w:val="Emphasis"/>
                <w:rFonts w:cstheme="minorHAnsi"/>
                <w:i w:val="0"/>
                <w:color w:val="000000"/>
              </w:rPr>
            </w:pPr>
            <w:r>
              <w:rPr>
                <w:rStyle w:val="Emphasis"/>
                <w:rFonts w:cstheme="minorHAnsi"/>
                <w:i w:val="0"/>
                <w:color w:val="000000"/>
              </w:rPr>
              <w:t>CMA 25/08/20</w:t>
            </w:r>
          </w:p>
          <w:p w14:paraId="5C3EB77C" w14:textId="77777777" w:rsidR="00305BCD" w:rsidRDefault="00305BCD" w:rsidP="00BD5E90">
            <w:pPr>
              <w:rPr>
                <w:rStyle w:val="Emphasis"/>
                <w:rFonts w:cstheme="minorHAnsi"/>
                <w:i w:val="0"/>
                <w:color w:val="000000"/>
              </w:rPr>
            </w:pPr>
          </w:p>
          <w:p w14:paraId="6D11F220" w14:textId="77777777" w:rsidR="00305BCD" w:rsidRPr="005376AE" w:rsidRDefault="00305BCD" w:rsidP="00C1651F">
            <w:pPr>
              <w:rPr>
                <w:rStyle w:val="Emphasis"/>
                <w:rFonts w:cstheme="minorHAnsi"/>
                <w:i w:val="0"/>
                <w:color w:val="000000"/>
              </w:rPr>
            </w:pPr>
            <w:r>
              <w:t>EMA/372587/2020 Rev 1</w:t>
            </w:r>
          </w:p>
        </w:tc>
        <w:tc>
          <w:tcPr>
            <w:tcW w:w="3093" w:type="dxa"/>
          </w:tcPr>
          <w:p w14:paraId="6482ACE9" w14:textId="77777777" w:rsidR="00305BCD" w:rsidRDefault="00305BCD" w:rsidP="00C1651F">
            <w:r>
              <w:t>[D]esensitisation treatment of highly sensitised adult kidney transplant patients with positive crossmatch against an available deceased donor.</w:t>
            </w:r>
          </w:p>
        </w:tc>
        <w:tc>
          <w:tcPr>
            <w:tcW w:w="3926" w:type="dxa"/>
          </w:tcPr>
          <w:p w14:paraId="04304715" w14:textId="77777777" w:rsidR="00305BCD" w:rsidRDefault="00305BCD" w:rsidP="00BD5E90">
            <w:r>
              <w:t>06 Phase II Pivotal: efficacy defined as imlifidase ability to create a negative CXM test within 24 hours after imlifidase dosing.</w:t>
            </w:r>
          </w:p>
          <w:p w14:paraId="4B239B56" w14:textId="77777777" w:rsidR="00305BCD" w:rsidRDefault="00305BCD" w:rsidP="00BD5E90"/>
          <w:p w14:paraId="300B209D" w14:textId="77777777" w:rsidR="00305BCD" w:rsidRDefault="00305BCD" w:rsidP="00C1651F">
            <w:r>
              <w:t>04 Phase I/II Supportive: Primary Endpoints • Number and levels of DSAs prior to transplantation • Number and levels of DSA levels post transplantation • Incidence of allograft rejections • Renal function by creatinine, eGFR, and urine protein measurements • Biopsy pathology evaluation • Safety parameters (AEs, laboratory assessments, vital signs, ECG)</w:t>
            </w:r>
          </w:p>
        </w:tc>
        <w:tc>
          <w:tcPr>
            <w:tcW w:w="1932" w:type="dxa"/>
          </w:tcPr>
          <w:p w14:paraId="35EEEFDE" w14:textId="77777777" w:rsidR="00305BCD" w:rsidRDefault="00305BCD" w:rsidP="00BD5E90">
            <w:r>
              <w:t>Yes:</w:t>
            </w:r>
          </w:p>
          <w:p w14:paraId="2A74E068" w14:textId="77777777" w:rsidR="00305BCD" w:rsidRDefault="00305BCD" w:rsidP="00BD5E90"/>
          <w:p w14:paraId="60D1B791" w14:textId="77777777" w:rsidR="00305BCD" w:rsidRDefault="00305BCD" w:rsidP="00BD5E90">
            <w:r>
              <w:t>Negative CXM test post-dosing (pivotal)</w:t>
            </w:r>
          </w:p>
          <w:p w14:paraId="687C21F2" w14:textId="77777777" w:rsidR="00305BCD" w:rsidRDefault="00305BCD" w:rsidP="00BD5E90"/>
          <w:p w14:paraId="7D2F2CCF" w14:textId="77777777" w:rsidR="00305BCD" w:rsidRDefault="00305BCD" w:rsidP="00BD5E90">
            <w:r>
              <w:t>DSA number and level</w:t>
            </w:r>
          </w:p>
          <w:p w14:paraId="15D6F09F" w14:textId="77777777" w:rsidR="00305BCD" w:rsidRDefault="00305BCD" w:rsidP="00BD5E90"/>
          <w:p w14:paraId="71D9BB22" w14:textId="77777777" w:rsidR="00305BCD" w:rsidRDefault="00305BCD" w:rsidP="00BD5E90">
            <w:r>
              <w:t>Incidence of allograft rejections</w:t>
            </w:r>
          </w:p>
          <w:p w14:paraId="48ECEA1B" w14:textId="77777777" w:rsidR="00305BCD" w:rsidRDefault="00305BCD" w:rsidP="00BD5E90"/>
          <w:p w14:paraId="43DDF73C" w14:textId="77777777" w:rsidR="00305BCD" w:rsidRDefault="00305BCD" w:rsidP="00BD5E90">
            <w:r>
              <w:t>Creatinine/eGFR/</w:t>
            </w:r>
          </w:p>
          <w:p w14:paraId="35628214" w14:textId="77777777" w:rsidR="00305BCD" w:rsidRDefault="00305BCD" w:rsidP="00C1651F">
            <w:r>
              <w:t>urine protein</w:t>
            </w:r>
          </w:p>
        </w:tc>
      </w:tr>
      <w:tr w:rsidR="00305BCD" w14:paraId="121C2466" w14:textId="77777777" w:rsidTr="009C0297">
        <w:tc>
          <w:tcPr>
            <w:tcW w:w="2673" w:type="dxa"/>
          </w:tcPr>
          <w:p w14:paraId="6A4F9C04" w14:textId="77777777" w:rsidR="00305BCD" w:rsidRDefault="00305BCD" w:rsidP="00BD5E90">
            <w:pPr>
              <w:rPr>
                <w:rStyle w:val="Emphasis"/>
                <w:rFonts w:cstheme="minorHAnsi"/>
                <w:b/>
                <w:i w:val="0"/>
                <w:color w:val="000000"/>
              </w:rPr>
            </w:pPr>
            <w:r>
              <w:rPr>
                <w:rStyle w:val="Emphasis"/>
                <w:rFonts w:cstheme="minorHAnsi"/>
                <w:b/>
                <w:i w:val="0"/>
                <w:color w:val="000000"/>
              </w:rPr>
              <w:lastRenderedPageBreak/>
              <w:t>brentuximab vedotin</w:t>
            </w:r>
          </w:p>
          <w:p w14:paraId="0B2133FA" w14:textId="77777777" w:rsidR="00305BCD" w:rsidRDefault="00305BCD" w:rsidP="00BD5E90">
            <w:pPr>
              <w:rPr>
                <w:rStyle w:val="Emphasis"/>
                <w:rFonts w:cstheme="minorHAnsi"/>
                <w:b/>
                <w:i w:val="0"/>
                <w:color w:val="000000"/>
              </w:rPr>
            </w:pPr>
          </w:p>
          <w:p w14:paraId="13D3AE3A" w14:textId="77777777" w:rsidR="00305BCD" w:rsidRDefault="00305BCD" w:rsidP="00BD5E90">
            <w:pPr>
              <w:rPr>
                <w:rStyle w:val="Emphasis"/>
                <w:rFonts w:cstheme="minorHAnsi"/>
                <w:i w:val="0"/>
                <w:color w:val="000000"/>
              </w:rPr>
            </w:pPr>
            <w:r>
              <w:rPr>
                <w:rStyle w:val="Emphasis"/>
                <w:rFonts w:cstheme="minorHAnsi"/>
                <w:i w:val="0"/>
                <w:color w:val="000000"/>
              </w:rPr>
              <w:t>Adcetris</w:t>
            </w:r>
          </w:p>
          <w:p w14:paraId="3ACFA796" w14:textId="77777777" w:rsidR="00305BCD" w:rsidRDefault="00305BCD" w:rsidP="00BD5E90">
            <w:pPr>
              <w:rPr>
                <w:rStyle w:val="Emphasis"/>
                <w:rFonts w:cstheme="minorHAnsi"/>
                <w:i w:val="0"/>
                <w:color w:val="000000"/>
              </w:rPr>
            </w:pPr>
          </w:p>
          <w:p w14:paraId="4B5CE807" w14:textId="77777777" w:rsidR="00305BCD" w:rsidRDefault="00305BCD" w:rsidP="00BD5E90">
            <w:pPr>
              <w:rPr>
                <w:rStyle w:val="Emphasis"/>
                <w:rFonts w:cstheme="minorHAnsi"/>
                <w:i w:val="0"/>
                <w:color w:val="000000"/>
              </w:rPr>
            </w:pPr>
            <w:r>
              <w:rPr>
                <w:rStyle w:val="Emphasis"/>
                <w:rFonts w:cstheme="minorHAnsi"/>
                <w:i w:val="0"/>
                <w:color w:val="000000"/>
              </w:rPr>
              <w:t>CMA 25/10/12</w:t>
            </w:r>
          </w:p>
          <w:p w14:paraId="463E39C5" w14:textId="77777777" w:rsidR="00305BCD" w:rsidRDefault="00305BCD" w:rsidP="00BD5E90">
            <w:pPr>
              <w:rPr>
                <w:rStyle w:val="Emphasis"/>
                <w:rFonts w:cstheme="minorHAnsi"/>
                <w:i w:val="0"/>
                <w:color w:val="000000"/>
              </w:rPr>
            </w:pPr>
          </w:p>
          <w:p w14:paraId="5C3B239D" w14:textId="77777777" w:rsidR="00305BCD" w:rsidRPr="00161203" w:rsidRDefault="00305BCD" w:rsidP="00BD5E90">
            <w:pPr>
              <w:rPr>
                <w:rStyle w:val="Emphasis"/>
                <w:rFonts w:cstheme="minorHAnsi"/>
                <w:i w:val="0"/>
                <w:color w:val="000000"/>
              </w:rPr>
            </w:pPr>
            <w:r>
              <w:t>EMA/702390/2012</w:t>
            </w:r>
          </w:p>
        </w:tc>
        <w:tc>
          <w:tcPr>
            <w:tcW w:w="3093" w:type="dxa"/>
          </w:tcPr>
          <w:p w14:paraId="63D23133" w14:textId="77777777" w:rsidR="00305BCD" w:rsidRDefault="00305BCD" w:rsidP="00BD5E90">
            <w:r>
              <w:t xml:space="preserve">ADCETRIS is indicated for the treatment of adult patients with relapsed or refractory CD30+ Hodgkin lymphoma (HL): 1. following autologous stem cell transplant (ASCT) or </w:t>
            </w:r>
          </w:p>
          <w:p w14:paraId="11B65256" w14:textId="77777777" w:rsidR="00305BCD" w:rsidRDefault="00305BCD" w:rsidP="00BD5E90">
            <w:r>
              <w:t xml:space="preserve">2. following at least two prior therapies when ASCT or multi-agent chemotherpay are not a treatment option </w:t>
            </w:r>
          </w:p>
          <w:p w14:paraId="1A817ACC" w14:textId="77777777" w:rsidR="00305BCD" w:rsidRDefault="00305BCD" w:rsidP="00BD5E90"/>
          <w:p w14:paraId="74509782" w14:textId="77777777" w:rsidR="00305BCD" w:rsidRDefault="00305BCD" w:rsidP="00BD5E90">
            <w:r>
              <w:t>ADCETRIS is indicated for the treatment of adult patients with relapsed or refractory systemic anaplastic large cell lymphoma (sALCL).</w:t>
            </w:r>
          </w:p>
        </w:tc>
        <w:tc>
          <w:tcPr>
            <w:tcW w:w="3926" w:type="dxa"/>
          </w:tcPr>
          <w:p w14:paraId="52D1474B" w14:textId="77777777" w:rsidR="00305BCD" w:rsidRDefault="00305BCD" w:rsidP="00BD5E90">
            <w:r>
              <w:t>SG035-003 Phase II Pivotal: Objective Response Rate per Independent Review Facility (IRF)</w:t>
            </w:r>
          </w:p>
          <w:p w14:paraId="41A8E5D5" w14:textId="77777777" w:rsidR="00305BCD" w:rsidRDefault="00305BCD" w:rsidP="00BD5E90"/>
          <w:p w14:paraId="0785F134" w14:textId="77777777" w:rsidR="00305BCD" w:rsidRDefault="00305BCD" w:rsidP="00BD5E90">
            <w:r>
              <w:t>SG035-004 Phase II Pivotal: Same as above</w:t>
            </w:r>
          </w:p>
          <w:p w14:paraId="3882FCAE" w14:textId="77777777" w:rsidR="00305BCD" w:rsidRDefault="00305BCD" w:rsidP="00BD5E90"/>
          <w:p w14:paraId="1424802C" w14:textId="77777777" w:rsidR="00305BCD" w:rsidRDefault="00305BCD" w:rsidP="00BD5E90">
            <w:r>
              <w:t>SG035-001 Phase I Supportive: Primary were safety endpoints</w:t>
            </w:r>
          </w:p>
          <w:p w14:paraId="5755CD1C" w14:textId="77777777" w:rsidR="00305BCD" w:rsidRDefault="00305BCD" w:rsidP="00BD5E90"/>
          <w:p w14:paraId="11AA7CB2" w14:textId="77777777" w:rsidR="00305BCD" w:rsidRDefault="00305BCD" w:rsidP="00BD5E90">
            <w:r>
              <w:t>SG035-002 Phase I Supportive: Primary were safety endpoints</w:t>
            </w:r>
          </w:p>
        </w:tc>
        <w:tc>
          <w:tcPr>
            <w:tcW w:w="1932" w:type="dxa"/>
          </w:tcPr>
          <w:p w14:paraId="547E841E" w14:textId="77777777" w:rsidR="00305BCD" w:rsidRDefault="00305BCD" w:rsidP="00BD5E90">
            <w:r>
              <w:t>Yes:</w:t>
            </w:r>
          </w:p>
          <w:p w14:paraId="149F495E" w14:textId="77777777" w:rsidR="00305BCD" w:rsidRDefault="00305BCD" w:rsidP="00BD5E90"/>
          <w:p w14:paraId="3DCE6627" w14:textId="77777777" w:rsidR="00305BCD" w:rsidRDefault="00305BCD" w:rsidP="00BD5E90">
            <w:r>
              <w:t>Objective response rate per IRF (pivotal)</w:t>
            </w:r>
          </w:p>
          <w:p w14:paraId="3231B931" w14:textId="77777777" w:rsidR="00305BCD" w:rsidRDefault="00305BCD" w:rsidP="00BD5E90"/>
          <w:p w14:paraId="389A4A2B" w14:textId="77777777" w:rsidR="00305BCD" w:rsidRDefault="00305BCD" w:rsidP="00BD5E90"/>
        </w:tc>
      </w:tr>
      <w:tr w:rsidR="00305BCD" w14:paraId="46A3FA39" w14:textId="77777777" w:rsidTr="009C0297">
        <w:tc>
          <w:tcPr>
            <w:tcW w:w="2673" w:type="dxa"/>
          </w:tcPr>
          <w:p w14:paraId="5CAD0930" w14:textId="77777777" w:rsidR="00305BCD" w:rsidRDefault="00305BCD" w:rsidP="00BD5E90">
            <w:pPr>
              <w:rPr>
                <w:rStyle w:val="Emphasis"/>
                <w:rFonts w:cstheme="minorHAnsi"/>
                <w:b/>
                <w:i w:val="0"/>
                <w:color w:val="000000"/>
              </w:rPr>
            </w:pPr>
            <w:r>
              <w:rPr>
                <w:rStyle w:val="Emphasis"/>
                <w:rFonts w:cstheme="minorHAnsi"/>
                <w:b/>
                <w:i w:val="0"/>
                <w:color w:val="000000"/>
              </w:rPr>
              <w:t>vandetanib</w:t>
            </w:r>
          </w:p>
          <w:p w14:paraId="75464FC0" w14:textId="77777777" w:rsidR="00305BCD" w:rsidRDefault="00305BCD" w:rsidP="00BD5E90">
            <w:pPr>
              <w:rPr>
                <w:rStyle w:val="Emphasis"/>
                <w:rFonts w:cstheme="minorHAnsi"/>
                <w:b/>
                <w:i w:val="0"/>
                <w:color w:val="000000"/>
              </w:rPr>
            </w:pPr>
          </w:p>
          <w:p w14:paraId="256E665F" w14:textId="77777777" w:rsidR="00305BCD" w:rsidRDefault="00305BCD" w:rsidP="00BD5E90">
            <w:pPr>
              <w:rPr>
                <w:rStyle w:val="Emphasis"/>
                <w:rFonts w:cstheme="minorHAnsi"/>
                <w:i w:val="0"/>
                <w:color w:val="000000"/>
              </w:rPr>
            </w:pPr>
            <w:r>
              <w:rPr>
                <w:rStyle w:val="Emphasis"/>
                <w:rFonts w:cstheme="minorHAnsi"/>
                <w:i w:val="0"/>
                <w:color w:val="000000"/>
              </w:rPr>
              <w:t>Caprelsa</w:t>
            </w:r>
          </w:p>
          <w:p w14:paraId="175A1A77" w14:textId="77777777" w:rsidR="00305BCD" w:rsidRDefault="00305BCD" w:rsidP="00BD5E90">
            <w:pPr>
              <w:rPr>
                <w:rStyle w:val="Emphasis"/>
                <w:rFonts w:cstheme="minorHAnsi"/>
                <w:i w:val="0"/>
                <w:color w:val="000000"/>
              </w:rPr>
            </w:pPr>
          </w:p>
          <w:p w14:paraId="76B5F36F" w14:textId="77777777" w:rsidR="00305BCD" w:rsidRDefault="00305BCD" w:rsidP="00BD5E90">
            <w:pPr>
              <w:rPr>
                <w:rStyle w:val="Emphasis"/>
                <w:rFonts w:cstheme="minorHAnsi"/>
                <w:i w:val="0"/>
                <w:color w:val="000000"/>
              </w:rPr>
            </w:pPr>
            <w:r>
              <w:rPr>
                <w:rStyle w:val="Emphasis"/>
                <w:rFonts w:cstheme="minorHAnsi"/>
                <w:i w:val="0"/>
                <w:color w:val="000000"/>
              </w:rPr>
              <w:t>CMA 16/02/12</w:t>
            </w:r>
          </w:p>
          <w:p w14:paraId="3D48EFF9" w14:textId="77777777" w:rsidR="00305BCD" w:rsidRDefault="00305BCD" w:rsidP="00BD5E90">
            <w:pPr>
              <w:rPr>
                <w:rStyle w:val="Emphasis"/>
                <w:rFonts w:cstheme="minorHAnsi"/>
                <w:i w:val="0"/>
                <w:color w:val="000000"/>
              </w:rPr>
            </w:pPr>
          </w:p>
          <w:p w14:paraId="322AE6AB" w14:textId="77777777" w:rsidR="00305BCD" w:rsidRPr="00BD5E90" w:rsidRDefault="00305BCD" w:rsidP="00BD5E90">
            <w:pPr>
              <w:rPr>
                <w:rStyle w:val="Emphasis"/>
                <w:rFonts w:cstheme="minorHAnsi"/>
                <w:i w:val="0"/>
                <w:color w:val="000000"/>
              </w:rPr>
            </w:pPr>
            <w:r>
              <w:t>EMA/128076/2012</w:t>
            </w:r>
          </w:p>
        </w:tc>
        <w:tc>
          <w:tcPr>
            <w:tcW w:w="3093" w:type="dxa"/>
          </w:tcPr>
          <w:p w14:paraId="32E00557" w14:textId="77777777" w:rsidR="00305BCD" w:rsidRDefault="00305BCD" w:rsidP="00BD5E90">
            <w:r>
              <w:t>[T]reatment of aggressive and symptomatic medullary thyroid cancer (MTC) in patients with unresectable locally advanced or metastatic disease. 'For patients in whom rearranged during transfection (RET) mutation is not known or is negative, a possible lower benefit should be taken into account before individual treatment decision</w:t>
            </w:r>
          </w:p>
        </w:tc>
        <w:tc>
          <w:tcPr>
            <w:tcW w:w="3926" w:type="dxa"/>
          </w:tcPr>
          <w:p w14:paraId="57399E90" w14:textId="77777777" w:rsidR="00305BCD" w:rsidRDefault="00305BCD" w:rsidP="00BD5E90">
            <w:r>
              <w:t>D4200C00058 Phase III Pivotal: Progression-free survival (PFS), defined from the date of randomization to the date of objective progression or death (by any cause in the absence of progression), provided death was within 3 months from the last evaluable RECIST assessment, using data from RECIST assessments performed at baseline, during treatment and during the follow-up period. The PFS assessment was based on an independent radiological review.</w:t>
            </w:r>
          </w:p>
          <w:p w14:paraId="5884F0D9" w14:textId="77777777" w:rsidR="00305BCD" w:rsidRDefault="00305BCD" w:rsidP="00BD5E90"/>
          <w:p w14:paraId="7F189C4E" w14:textId="77777777" w:rsidR="00305BCD" w:rsidRDefault="00305BCD" w:rsidP="00BD5E90">
            <w:r>
              <w:t>Phase II Supportive: Preliminary results of a phase II, placebo controlled randomised study (study 79) of vandetanib 300 mg in 145 patients with locally advanced or metastatic papillary or follicular thyroid carcinoma failing or unsuitable for radioiodine therapy found a HR of 0.62 (0.43,0.92), p=0.017 on the primary endpoint PFS without any significant difference on the secondary endpoints.</w:t>
            </w:r>
          </w:p>
        </w:tc>
        <w:tc>
          <w:tcPr>
            <w:tcW w:w="1932" w:type="dxa"/>
          </w:tcPr>
          <w:p w14:paraId="6E31569E" w14:textId="77777777" w:rsidR="00305BCD" w:rsidRDefault="00305BCD" w:rsidP="00BD5E90">
            <w:r>
              <w:t>Yes:</w:t>
            </w:r>
          </w:p>
          <w:p w14:paraId="75D4D605" w14:textId="77777777" w:rsidR="00305BCD" w:rsidRDefault="00305BCD" w:rsidP="00BD5E90"/>
          <w:p w14:paraId="012369F1" w14:textId="77777777" w:rsidR="00305BCD" w:rsidRDefault="00305BCD" w:rsidP="00BD5E90">
            <w:r>
              <w:t>Progression-free survival (pivotal)</w:t>
            </w:r>
          </w:p>
        </w:tc>
      </w:tr>
      <w:tr w:rsidR="00305BCD" w14:paraId="425EA08F" w14:textId="77777777" w:rsidTr="009C0297">
        <w:tc>
          <w:tcPr>
            <w:tcW w:w="2673" w:type="dxa"/>
          </w:tcPr>
          <w:p w14:paraId="1BC334FA" w14:textId="77777777" w:rsidR="00305BCD" w:rsidRDefault="00305BCD" w:rsidP="00BD5E90">
            <w:pPr>
              <w:rPr>
                <w:rStyle w:val="Emphasis"/>
                <w:rFonts w:cstheme="minorHAnsi"/>
                <w:b/>
                <w:i w:val="0"/>
                <w:color w:val="000000"/>
              </w:rPr>
            </w:pPr>
            <w:r>
              <w:rPr>
                <w:rStyle w:val="Emphasis"/>
                <w:rFonts w:cstheme="minorHAnsi"/>
                <w:b/>
                <w:i w:val="0"/>
                <w:color w:val="000000"/>
              </w:rPr>
              <w:t>cabozantinib</w:t>
            </w:r>
          </w:p>
          <w:p w14:paraId="2AD418B6" w14:textId="77777777" w:rsidR="00305BCD" w:rsidRDefault="00305BCD" w:rsidP="00BD5E90">
            <w:pPr>
              <w:rPr>
                <w:rStyle w:val="Emphasis"/>
                <w:rFonts w:cstheme="minorHAnsi"/>
                <w:b/>
                <w:i w:val="0"/>
                <w:color w:val="000000"/>
              </w:rPr>
            </w:pPr>
          </w:p>
          <w:p w14:paraId="25C4D94F" w14:textId="77777777" w:rsidR="00305BCD" w:rsidRDefault="00305BCD" w:rsidP="00BD5E90">
            <w:pPr>
              <w:rPr>
                <w:rStyle w:val="Emphasis"/>
                <w:rFonts w:cstheme="minorHAnsi"/>
                <w:i w:val="0"/>
                <w:color w:val="000000"/>
              </w:rPr>
            </w:pPr>
            <w:r>
              <w:rPr>
                <w:rStyle w:val="Emphasis"/>
                <w:rFonts w:cstheme="minorHAnsi"/>
                <w:i w:val="0"/>
                <w:color w:val="000000"/>
              </w:rPr>
              <w:t>Cometriq</w:t>
            </w:r>
          </w:p>
          <w:p w14:paraId="0BD1615A" w14:textId="77777777" w:rsidR="00305BCD" w:rsidRDefault="00305BCD" w:rsidP="00BD5E90">
            <w:pPr>
              <w:rPr>
                <w:rStyle w:val="Emphasis"/>
                <w:rFonts w:cstheme="minorHAnsi"/>
                <w:i w:val="0"/>
                <w:color w:val="000000"/>
              </w:rPr>
            </w:pPr>
          </w:p>
          <w:p w14:paraId="7A906F44" w14:textId="77777777" w:rsidR="00305BCD" w:rsidRDefault="00305BCD" w:rsidP="00BD5E90">
            <w:pPr>
              <w:rPr>
                <w:rStyle w:val="Emphasis"/>
                <w:rFonts w:cstheme="minorHAnsi"/>
                <w:i w:val="0"/>
                <w:color w:val="000000"/>
              </w:rPr>
            </w:pPr>
            <w:r>
              <w:rPr>
                <w:rStyle w:val="Emphasis"/>
                <w:rFonts w:cstheme="minorHAnsi"/>
                <w:i w:val="0"/>
                <w:color w:val="000000"/>
              </w:rPr>
              <w:t>CMA 21/03/14</w:t>
            </w:r>
          </w:p>
          <w:p w14:paraId="12097F0A" w14:textId="77777777" w:rsidR="00305BCD" w:rsidRDefault="00305BCD" w:rsidP="00BD5E90">
            <w:pPr>
              <w:rPr>
                <w:rStyle w:val="Emphasis"/>
                <w:rFonts w:cstheme="minorHAnsi"/>
                <w:i w:val="0"/>
                <w:color w:val="000000"/>
              </w:rPr>
            </w:pPr>
          </w:p>
          <w:p w14:paraId="115B5583" w14:textId="77777777" w:rsidR="00305BCD" w:rsidRPr="00BE0A48" w:rsidRDefault="00305BCD" w:rsidP="00BD5E90">
            <w:pPr>
              <w:rPr>
                <w:rStyle w:val="Emphasis"/>
                <w:rFonts w:cstheme="minorHAnsi"/>
                <w:i w:val="0"/>
                <w:color w:val="000000"/>
              </w:rPr>
            </w:pPr>
            <w:r>
              <w:t>EMA/97103/2014</w:t>
            </w:r>
          </w:p>
        </w:tc>
        <w:tc>
          <w:tcPr>
            <w:tcW w:w="3093" w:type="dxa"/>
          </w:tcPr>
          <w:p w14:paraId="77EC42E0" w14:textId="77777777" w:rsidR="00305BCD" w:rsidRDefault="00305BCD" w:rsidP="00BD5E90">
            <w:r>
              <w:t>Cometriq is indicated for the treatment of adult patients with progressive, unresectable locally advanced or metastatic medullary thyroid carcinoma.</w:t>
            </w:r>
          </w:p>
        </w:tc>
        <w:tc>
          <w:tcPr>
            <w:tcW w:w="3926" w:type="dxa"/>
          </w:tcPr>
          <w:p w14:paraId="3DCE85BC" w14:textId="77777777" w:rsidR="00305BCD" w:rsidRDefault="00305BCD" w:rsidP="00BD5E90">
            <w:r>
              <w:t>XL184-301 Phase III Pivotal: Progression-free survival (IRC determined) defined as the time from randomization to documented PD per mRECIST criteria or death due to any cause, whichever occurred first.</w:t>
            </w:r>
          </w:p>
          <w:p w14:paraId="36ED489A" w14:textId="77777777" w:rsidR="00305BCD" w:rsidRDefault="00305BCD" w:rsidP="00BD5E90"/>
          <w:p w14:paraId="4807047A" w14:textId="77777777" w:rsidR="00305BCD" w:rsidRDefault="00305BCD" w:rsidP="00BD5E90">
            <w:r>
              <w:t>XL184-001 Phase I Supportive: Primary were safety</w:t>
            </w:r>
          </w:p>
        </w:tc>
        <w:tc>
          <w:tcPr>
            <w:tcW w:w="1932" w:type="dxa"/>
          </w:tcPr>
          <w:p w14:paraId="50438F91" w14:textId="77777777" w:rsidR="00305BCD" w:rsidRDefault="00305BCD" w:rsidP="00BD5E90">
            <w:r>
              <w:t>Yes:</w:t>
            </w:r>
          </w:p>
          <w:p w14:paraId="4AE77FF2" w14:textId="77777777" w:rsidR="00305BCD" w:rsidRDefault="00305BCD" w:rsidP="00BD5E90"/>
          <w:p w14:paraId="2E2451B0" w14:textId="77777777" w:rsidR="00305BCD" w:rsidRDefault="00305BCD" w:rsidP="00BD5E90">
            <w:r>
              <w:t>Progression-free survival (pivotal)</w:t>
            </w:r>
          </w:p>
        </w:tc>
      </w:tr>
      <w:tr w:rsidR="00305BCD" w14:paraId="29B614C3" w14:textId="77777777" w:rsidTr="009C0297">
        <w:tc>
          <w:tcPr>
            <w:tcW w:w="2673" w:type="dxa"/>
          </w:tcPr>
          <w:p w14:paraId="43425CB3" w14:textId="77777777" w:rsidR="00305BCD" w:rsidRDefault="00305BCD" w:rsidP="00BD5E90">
            <w:pPr>
              <w:rPr>
                <w:rStyle w:val="Emphasis"/>
                <w:rFonts w:cstheme="minorHAnsi"/>
                <w:b/>
                <w:i w:val="0"/>
                <w:color w:val="000000"/>
              </w:rPr>
            </w:pPr>
            <w:r>
              <w:rPr>
                <w:rStyle w:val="Emphasis"/>
                <w:rFonts w:cstheme="minorHAnsi"/>
                <w:b/>
                <w:i w:val="0"/>
                <w:color w:val="000000"/>
              </w:rPr>
              <w:t>delamanid</w:t>
            </w:r>
          </w:p>
          <w:p w14:paraId="63EB1531" w14:textId="77777777" w:rsidR="00305BCD" w:rsidRDefault="00305BCD" w:rsidP="00BD5E90">
            <w:pPr>
              <w:rPr>
                <w:rStyle w:val="Emphasis"/>
                <w:rFonts w:cstheme="minorHAnsi"/>
                <w:b/>
                <w:i w:val="0"/>
                <w:color w:val="000000"/>
              </w:rPr>
            </w:pPr>
          </w:p>
          <w:p w14:paraId="4C98F4A8" w14:textId="77777777" w:rsidR="00305BCD" w:rsidRDefault="00305BCD" w:rsidP="00BD5E90">
            <w:pPr>
              <w:rPr>
                <w:rStyle w:val="Emphasis"/>
                <w:rFonts w:cstheme="minorHAnsi"/>
                <w:i w:val="0"/>
                <w:color w:val="000000"/>
              </w:rPr>
            </w:pPr>
            <w:r>
              <w:rPr>
                <w:rStyle w:val="Emphasis"/>
                <w:rFonts w:cstheme="minorHAnsi"/>
                <w:i w:val="0"/>
                <w:color w:val="000000"/>
              </w:rPr>
              <w:t>Deltyba</w:t>
            </w:r>
          </w:p>
          <w:p w14:paraId="22EEB48A" w14:textId="77777777" w:rsidR="00305BCD" w:rsidRDefault="00305BCD" w:rsidP="00BD5E90">
            <w:pPr>
              <w:rPr>
                <w:rStyle w:val="Emphasis"/>
                <w:rFonts w:cstheme="minorHAnsi"/>
                <w:i w:val="0"/>
                <w:color w:val="000000"/>
              </w:rPr>
            </w:pPr>
          </w:p>
          <w:p w14:paraId="3A90CE00" w14:textId="77777777" w:rsidR="00305BCD" w:rsidRDefault="00305BCD" w:rsidP="00BD5E90">
            <w:pPr>
              <w:rPr>
                <w:rStyle w:val="Emphasis"/>
                <w:rFonts w:cstheme="minorHAnsi"/>
                <w:i w:val="0"/>
                <w:color w:val="000000"/>
              </w:rPr>
            </w:pPr>
            <w:r>
              <w:rPr>
                <w:rStyle w:val="Emphasis"/>
                <w:rFonts w:cstheme="minorHAnsi"/>
                <w:i w:val="0"/>
                <w:color w:val="000000"/>
              </w:rPr>
              <w:t>CMA 27/04/14</w:t>
            </w:r>
          </w:p>
          <w:p w14:paraId="603BB4DC" w14:textId="77777777" w:rsidR="00305BCD" w:rsidRDefault="00305BCD" w:rsidP="00BD5E90">
            <w:pPr>
              <w:rPr>
                <w:rStyle w:val="Emphasis"/>
                <w:rFonts w:cstheme="minorHAnsi"/>
                <w:i w:val="0"/>
                <w:color w:val="000000"/>
              </w:rPr>
            </w:pPr>
          </w:p>
          <w:p w14:paraId="6D96341C" w14:textId="77777777" w:rsidR="00305BCD" w:rsidRPr="00772F18" w:rsidRDefault="00305BCD" w:rsidP="00BD5E90">
            <w:pPr>
              <w:rPr>
                <w:rStyle w:val="Emphasis"/>
                <w:rFonts w:cstheme="minorHAnsi"/>
                <w:i w:val="0"/>
                <w:color w:val="000000"/>
              </w:rPr>
            </w:pPr>
            <w:r>
              <w:t>EMA/55567/2014</w:t>
            </w:r>
          </w:p>
        </w:tc>
        <w:tc>
          <w:tcPr>
            <w:tcW w:w="3093" w:type="dxa"/>
          </w:tcPr>
          <w:p w14:paraId="365A0E5C" w14:textId="77777777" w:rsidR="00305BCD" w:rsidRDefault="00305BCD" w:rsidP="00BD5E90">
            <w:r>
              <w:t>Delamanid is indicated for the treatment of multidrug-resistant tuberculosis (MDR-TB) in combination with an optimised background regimen (OBR) according to WHO guidelines in adult patients.</w:t>
            </w:r>
          </w:p>
        </w:tc>
        <w:tc>
          <w:tcPr>
            <w:tcW w:w="3926" w:type="dxa"/>
          </w:tcPr>
          <w:p w14:paraId="37E5A063" w14:textId="77777777" w:rsidR="00305BCD" w:rsidRDefault="00305BCD" w:rsidP="00BD5E90">
            <w:r>
              <w:t xml:space="preserve">242-07-204 Phase II Pivotal: The primary efficacy endpoint was the proportion of the subset of MITT subjects (sputum culture positive for MDR-TB at baseline) that achieved SCC using the MGIT system by Day 57. The time to SCC was based on the collection of the first sputum </w:t>
            </w:r>
            <w:r>
              <w:lastRenderedPageBreak/>
              <w:t>specimen with MGIT culture negative for growth of MTB that was followed by at least one additional sputum specimen with no MTB growth in MGIT at least 27 days after the first negative specimen and not followed by any sputum specimens with MGIT growth of MTB at any point during the remainder of the 84 day study period.</w:t>
            </w:r>
          </w:p>
        </w:tc>
        <w:tc>
          <w:tcPr>
            <w:tcW w:w="1932" w:type="dxa"/>
          </w:tcPr>
          <w:p w14:paraId="7F46BBF2" w14:textId="77777777" w:rsidR="00305BCD" w:rsidRDefault="00305BCD" w:rsidP="00BD5E90">
            <w:r>
              <w:lastRenderedPageBreak/>
              <w:t>Yes:</w:t>
            </w:r>
          </w:p>
          <w:p w14:paraId="57A525C7" w14:textId="77777777" w:rsidR="00305BCD" w:rsidRDefault="00305BCD" w:rsidP="00BD5E90"/>
          <w:p w14:paraId="75A72EAA" w14:textId="77777777" w:rsidR="00305BCD" w:rsidRDefault="00305BCD" w:rsidP="00BD5E90">
            <w:r>
              <w:t>Proportion achieved sputum culture conversion (pivotal)</w:t>
            </w:r>
          </w:p>
        </w:tc>
      </w:tr>
      <w:tr w:rsidR="00305BCD" w14:paraId="4E21CB7C" w14:textId="77777777" w:rsidTr="009C0297">
        <w:tc>
          <w:tcPr>
            <w:tcW w:w="2673" w:type="dxa"/>
          </w:tcPr>
          <w:p w14:paraId="494750FC" w14:textId="77777777" w:rsidR="00305BCD" w:rsidRDefault="00305BCD" w:rsidP="00BD5E90">
            <w:pPr>
              <w:rPr>
                <w:rStyle w:val="Emphasis"/>
                <w:rFonts w:cstheme="minorHAnsi"/>
                <w:b/>
                <w:i w:val="0"/>
                <w:color w:val="000000"/>
              </w:rPr>
            </w:pPr>
            <w:r>
              <w:rPr>
                <w:rStyle w:val="Emphasis"/>
                <w:rFonts w:cstheme="minorHAnsi"/>
                <w:b/>
                <w:i w:val="0"/>
                <w:color w:val="000000"/>
              </w:rPr>
              <w:t>ixazomib</w:t>
            </w:r>
          </w:p>
          <w:p w14:paraId="4FFAACB6" w14:textId="77777777" w:rsidR="00305BCD" w:rsidRDefault="00305BCD" w:rsidP="00BD5E90">
            <w:pPr>
              <w:rPr>
                <w:rStyle w:val="Emphasis"/>
                <w:rFonts w:cstheme="minorHAnsi"/>
                <w:b/>
                <w:i w:val="0"/>
                <w:color w:val="000000"/>
              </w:rPr>
            </w:pPr>
          </w:p>
          <w:p w14:paraId="5EC0A1CD" w14:textId="77777777" w:rsidR="00305BCD" w:rsidRDefault="00305BCD" w:rsidP="00BD5E90">
            <w:pPr>
              <w:rPr>
                <w:rStyle w:val="Emphasis"/>
                <w:rFonts w:cstheme="minorHAnsi"/>
                <w:i w:val="0"/>
                <w:color w:val="000000"/>
              </w:rPr>
            </w:pPr>
            <w:r>
              <w:rPr>
                <w:rStyle w:val="Emphasis"/>
                <w:rFonts w:cstheme="minorHAnsi"/>
                <w:i w:val="0"/>
                <w:color w:val="000000"/>
              </w:rPr>
              <w:t>Ninlaro</w:t>
            </w:r>
          </w:p>
          <w:p w14:paraId="1F0C0D97" w14:textId="77777777" w:rsidR="00305BCD" w:rsidRDefault="00305BCD" w:rsidP="00BD5E90">
            <w:pPr>
              <w:rPr>
                <w:rStyle w:val="Emphasis"/>
                <w:rFonts w:cstheme="minorHAnsi"/>
                <w:i w:val="0"/>
                <w:color w:val="000000"/>
              </w:rPr>
            </w:pPr>
          </w:p>
          <w:p w14:paraId="2C7224B6" w14:textId="77777777" w:rsidR="00305BCD" w:rsidRDefault="00305BCD" w:rsidP="00BD5E90">
            <w:pPr>
              <w:rPr>
                <w:rStyle w:val="Emphasis"/>
                <w:rFonts w:cstheme="minorHAnsi"/>
                <w:i w:val="0"/>
                <w:color w:val="000000"/>
              </w:rPr>
            </w:pPr>
            <w:r>
              <w:rPr>
                <w:rStyle w:val="Emphasis"/>
                <w:rFonts w:cstheme="minorHAnsi"/>
                <w:i w:val="0"/>
                <w:color w:val="000000"/>
              </w:rPr>
              <w:t>CMA 21/11/16</w:t>
            </w:r>
          </w:p>
          <w:p w14:paraId="31F71F34" w14:textId="77777777" w:rsidR="00305BCD" w:rsidRDefault="00305BCD" w:rsidP="00BD5E90">
            <w:pPr>
              <w:rPr>
                <w:rStyle w:val="Emphasis"/>
                <w:rFonts w:cstheme="minorHAnsi"/>
                <w:i w:val="0"/>
                <w:color w:val="000000"/>
              </w:rPr>
            </w:pPr>
          </w:p>
          <w:p w14:paraId="7074D37F" w14:textId="77777777" w:rsidR="00305BCD" w:rsidRPr="00015E63" w:rsidRDefault="00305BCD" w:rsidP="00BD5E90">
            <w:pPr>
              <w:rPr>
                <w:rStyle w:val="Emphasis"/>
                <w:rFonts w:cstheme="minorHAnsi"/>
                <w:i w:val="0"/>
                <w:color w:val="000000"/>
              </w:rPr>
            </w:pPr>
            <w:r>
              <w:t>EMA/CHMP/594718/2016</w:t>
            </w:r>
          </w:p>
        </w:tc>
        <w:tc>
          <w:tcPr>
            <w:tcW w:w="3093" w:type="dxa"/>
          </w:tcPr>
          <w:p w14:paraId="4CE2A586" w14:textId="77777777" w:rsidR="00305BCD" w:rsidRDefault="00305BCD" w:rsidP="00BD5E90">
            <w:r>
              <w:t>NINLARO in combination with lenalidomide and dexamethasone is indicated for the treatment of adult patients with multiple myeloma who have received at least one prior therapy</w:t>
            </w:r>
          </w:p>
        </w:tc>
        <w:tc>
          <w:tcPr>
            <w:tcW w:w="3926" w:type="dxa"/>
          </w:tcPr>
          <w:p w14:paraId="2DF4DF38" w14:textId="77777777" w:rsidR="00305BCD" w:rsidRDefault="00305BCD" w:rsidP="00BD5E90">
            <w:r>
              <w:t>C16010 Phase III Pivotal: The primary efficacy endpoint was PFS defined as the time from the date of randomization to the date of first documentation of disease progression, based on central laboratory results and IMWG criteria, or death due to any cause, whichever occurred first</w:t>
            </w:r>
          </w:p>
          <w:p w14:paraId="26244382" w14:textId="77777777" w:rsidR="00305BCD" w:rsidRDefault="00305BCD" w:rsidP="00BD5E90"/>
          <w:p w14:paraId="583E95BC" w14:textId="77777777" w:rsidR="00305BCD" w:rsidRDefault="00305BCD" w:rsidP="00BD5E90">
            <w:r>
              <w:t>Plus three supportive studies (safety/pharmacokinetics)</w:t>
            </w:r>
          </w:p>
        </w:tc>
        <w:tc>
          <w:tcPr>
            <w:tcW w:w="1932" w:type="dxa"/>
          </w:tcPr>
          <w:p w14:paraId="74034062" w14:textId="77777777" w:rsidR="00305BCD" w:rsidRDefault="00305BCD" w:rsidP="00BD5E90">
            <w:r>
              <w:t>Yes:</w:t>
            </w:r>
          </w:p>
          <w:p w14:paraId="3BC9EFCE" w14:textId="77777777" w:rsidR="00305BCD" w:rsidRDefault="00305BCD" w:rsidP="00BD5E90"/>
          <w:p w14:paraId="4D018395" w14:textId="77777777" w:rsidR="00305BCD" w:rsidRDefault="00305BCD" w:rsidP="00BD5E90">
            <w:r>
              <w:t>Progression-free survival (pivotal)</w:t>
            </w:r>
          </w:p>
        </w:tc>
      </w:tr>
      <w:tr w:rsidR="00305BCD" w14:paraId="65F96C3B" w14:textId="77777777" w:rsidTr="009C0297">
        <w:tc>
          <w:tcPr>
            <w:tcW w:w="2673" w:type="dxa"/>
          </w:tcPr>
          <w:p w14:paraId="01884485" w14:textId="77777777" w:rsidR="00305BCD" w:rsidRDefault="00305BCD" w:rsidP="00BD5E90">
            <w:pPr>
              <w:rPr>
                <w:rStyle w:val="Emphasis"/>
                <w:rFonts w:cstheme="minorHAnsi"/>
                <w:b/>
                <w:i w:val="0"/>
                <w:color w:val="000000"/>
              </w:rPr>
            </w:pPr>
            <w:r>
              <w:rPr>
                <w:rStyle w:val="Emphasis"/>
                <w:rFonts w:cstheme="minorHAnsi"/>
                <w:b/>
                <w:i w:val="0"/>
                <w:color w:val="000000"/>
              </w:rPr>
              <w:t>parathyroid hormone</w:t>
            </w:r>
          </w:p>
          <w:p w14:paraId="63B94814" w14:textId="77777777" w:rsidR="00305BCD" w:rsidRDefault="00305BCD" w:rsidP="00BD5E90">
            <w:pPr>
              <w:rPr>
                <w:rStyle w:val="Emphasis"/>
                <w:rFonts w:cstheme="minorHAnsi"/>
                <w:b/>
                <w:i w:val="0"/>
                <w:color w:val="000000"/>
              </w:rPr>
            </w:pPr>
          </w:p>
          <w:p w14:paraId="560F1616" w14:textId="77777777" w:rsidR="00305BCD" w:rsidRDefault="00305BCD" w:rsidP="00BD5E90">
            <w:pPr>
              <w:rPr>
                <w:rStyle w:val="Emphasis"/>
                <w:rFonts w:cstheme="minorHAnsi"/>
                <w:i w:val="0"/>
                <w:color w:val="000000"/>
              </w:rPr>
            </w:pPr>
            <w:r>
              <w:rPr>
                <w:rStyle w:val="Emphasis"/>
                <w:rFonts w:cstheme="minorHAnsi"/>
                <w:i w:val="0"/>
                <w:color w:val="000000"/>
              </w:rPr>
              <w:t>Natpar</w:t>
            </w:r>
          </w:p>
          <w:p w14:paraId="1BCF21BC" w14:textId="77777777" w:rsidR="00305BCD" w:rsidRDefault="00305BCD" w:rsidP="00BD5E90">
            <w:pPr>
              <w:rPr>
                <w:rStyle w:val="Emphasis"/>
                <w:rFonts w:cstheme="minorHAnsi"/>
                <w:i w:val="0"/>
                <w:color w:val="000000"/>
              </w:rPr>
            </w:pPr>
          </w:p>
          <w:p w14:paraId="744DF7AB" w14:textId="77777777" w:rsidR="00305BCD" w:rsidRDefault="00305BCD" w:rsidP="00BD5E90">
            <w:pPr>
              <w:rPr>
                <w:rStyle w:val="Emphasis"/>
                <w:rFonts w:cstheme="minorHAnsi"/>
                <w:i w:val="0"/>
                <w:color w:val="000000"/>
              </w:rPr>
            </w:pPr>
            <w:r>
              <w:rPr>
                <w:rStyle w:val="Emphasis"/>
                <w:rFonts w:cstheme="minorHAnsi"/>
                <w:i w:val="0"/>
                <w:color w:val="000000"/>
              </w:rPr>
              <w:t>CMA 24/04/17</w:t>
            </w:r>
          </w:p>
          <w:p w14:paraId="6E235B2C" w14:textId="77777777" w:rsidR="00305BCD" w:rsidRDefault="00305BCD" w:rsidP="00BD5E90">
            <w:pPr>
              <w:rPr>
                <w:rStyle w:val="Emphasis"/>
                <w:rFonts w:cstheme="minorHAnsi"/>
                <w:i w:val="0"/>
                <w:color w:val="000000"/>
              </w:rPr>
            </w:pPr>
          </w:p>
          <w:p w14:paraId="5D6D9128" w14:textId="77777777" w:rsidR="00305BCD" w:rsidRPr="00015E63" w:rsidRDefault="00305BCD" w:rsidP="00BD5E90">
            <w:pPr>
              <w:rPr>
                <w:rStyle w:val="Emphasis"/>
                <w:rFonts w:cstheme="minorHAnsi"/>
                <w:i w:val="0"/>
                <w:color w:val="000000"/>
              </w:rPr>
            </w:pPr>
            <w:r>
              <w:t>EMA/180882/2017</w:t>
            </w:r>
          </w:p>
        </w:tc>
        <w:tc>
          <w:tcPr>
            <w:tcW w:w="3093" w:type="dxa"/>
          </w:tcPr>
          <w:p w14:paraId="4F669435" w14:textId="77777777" w:rsidR="00305BCD" w:rsidRDefault="00305BCD" w:rsidP="00BD5E90">
            <w:r>
              <w:t>Natpar is indicated as adjunctive treatment of adult patients with chronic hypoparathyroidism who cannot be adequately controlled with standard therapy alone.</w:t>
            </w:r>
          </w:p>
        </w:tc>
        <w:tc>
          <w:tcPr>
            <w:tcW w:w="3926" w:type="dxa"/>
          </w:tcPr>
          <w:p w14:paraId="2D508594" w14:textId="77777777" w:rsidR="00305BCD" w:rsidRDefault="00305BCD" w:rsidP="00BD5E90">
            <w:r>
              <w:t>REPLACE Phase III Pivotal: The primary efficacy variable was the percentage of subjects who met the triple efficacy endpoint at Week 24, based on investigator-prescribed data. A subject met the triple efficacy endpoint if he/she achieved: o At least a 50% reduction from the baseline oral calcium supplementation dose and o At least a 50% reduction from the baseline active vitamin D metabolite/analog dose and o An albumin-corrected total serum calcium concentration that was maintained or normalized compared to the baseline value (≥ 1.875 mmol/L) and did not exceed the upper limit of the laboratory normal range.</w:t>
            </w:r>
          </w:p>
          <w:p w14:paraId="05214DD2" w14:textId="77777777" w:rsidR="00305BCD" w:rsidRDefault="00305BCD" w:rsidP="00BD5E90"/>
          <w:p w14:paraId="69B3169A" w14:textId="77777777" w:rsidR="00305BCD" w:rsidRDefault="00305BCD" w:rsidP="00BD5E90">
            <w:r>
              <w:t>PAR-C10-008, PAR-C10-009 Phase III Supportive: Primary was safety</w:t>
            </w:r>
          </w:p>
          <w:p w14:paraId="1676FD52" w14:textId="77777777" w:rsidR="00305BCD" w:rsidRDefault="00305BCD" w:rsidP="00BD5E90"/>
          <w:p w14:paraId="6DE0F16D" w14:textId="77777777" w:rsidR="00305BCD" w:rsidRDefault="00305BCD" w:rsidP="00BD5E90"/>
        </w:tc>
        <w:tc>
          <w:tcPr>
            <w:tcW w:w="1932" w:type="dxa"/>
          </w:tcPr>
          <w:p w14:paraId="699ADD1A" w14:textId="77777777" w:rsidR="00305BCD" w:rsidRDefault="00305BCD" w:rsidP="00BD5E90">
            <w:r>
              <w:t>Yes:</w:t>
            </w:r>
          </w:p>
          <w:p w14:paraId="75212E0C" w14:textId="77777777" w:rsidR="00305BCD" w:rsidRDefault="00305BCD" w:rsidP="00BD5E90"/>
          <w:p w14:paraId="14F06904" w14:textId="77777777" w:rsidR="00305BCD" w:rsidRDefault="00305BCD" w:rsidP="00BD5E90">
            <w:r>
              <w:t>Reduction from baseline calcium/vitamin D dose or serum calcium concentration (pivotal)</w:t>
            </w:r>
          </w:p>
        </w:tc>
      </w:tr>
      <w:tr w:rsidR="00305BCD" w14:paraId="1AD04C68" w14:textId="77777777" w:rsidTr="009C0297">
        <w:tc>
          <w:tcPr>
            <w:tcW w:w="2673" w:type="dxa"/>
          </w:tcPr>
          <w:p w14:paraId="2CBA12F7" w14:textId="77777777" w:rsidR="00305BCD" w:rsidRDefault="00305BCD" w:rsidP="00BD5E90">
            <w:pPr>
              <w:rPr>
                <w:rStyle w:val="Emphasis"/>
                <w:rFonts w:cstheme="minorHAnsi"/>
                <w:b/>
                <w:i w:val="0"/>
                <w:color w:val="000000"/>
              </w:rPr>
            </w:pPr>
            <w:r>
              <w:rPr>
                <w:rStyle w:val="Emphasis"/>
                <w:rFonts w:cstheme="minorHAnsi"/>
                <w:b/>
                <w:i w:val="0"/>
                <w:color w:val="000000"/>
              </w:rPr>
              <w:t>bosutinib</w:t>
            </w:r>
          </w:p>
          <w:p w14:paraId="7976470C" w14:textId="77777777" w:rsidR="00305BCD" w:rsidRDefault="00305BCD" w:rsidP="00BD5E90">
            <w:pPr>
              <w:rPr>
                <w:rStyle w:val="Emphasis"/>
                <w:rFonts w:cstheme="minorHAnsi"/>
                <w:b/>
                <w:i w:val="0"/>
                <w:color w:val="000000"/>
              </w:rPr>
            </w:pPr>
          </w:p>
          <w:p w14:paraId="499095D7" w14:textId="77777777" w:rsidR="00305BCD" w:rsidRDefault="00305BCD" w:rsidP="00BD5E90">
            <w:pPr>
              <w:rPr>
                <w:rStyle w:val="Emphasis"/>
                <w:rFonts w:cstheme="minorHAnsi"/>
                <w:i w:val="0"/>
                <w:color w:val="000000"/>
              </w:rPr>
            </w:pPr>
            <w:r>
              <w:rPr>
                <w:rStyle w:val="Emphasis"/>
                <w:rFonts w:cstheme="minorHAnsi"/>
                <w:i w:val="0"/>
                <w:color w:val="000000"/>
              </w:rPr>
              <w:t>Bosulif</w:t>
            </w:r>
          </w:p>
          <w:p w14:paraId="4AD123F5" w14:textId="77777777" w:rsidR="00305BCD" w:rsidRDefault="00305BCD" w:rsidP="00BD5E90">
            <w:pPr>
              <w:rPr>
                <w:rStyle w:val="Emphasis"/>
                <w:rFonts w:cstheme="minorHAnsi"/>
                <w:i w:val="0"/>
                <w:color w:val="000000"/>
              </w:rPr>
            </w:pPr>
          </w:p>
          <w:p w14:paraId="545D5973" w14:textId="77777777" w:rsidR="00305BCD" w:rsidRDefault="00305BCD" w:rsidP="00BD5E90">
            <w:pPr>
              <w:rPr>
                <w:rStyle w:val="Emphasis"/>
                <w:rFonts w:cstheme="minorHAnsi"/>
                <w:i w:val="0"/>
                <w:color w:val="000000"/>
              </w:rPr>
            </w:pPr>
            <w:r>
              <w:rPr>
                <w:rStyle w:val="Emphasis"/>
                <w:rFonts w:cstheme="minorHAnsi"/>
                <w:i w:val="0"/>
                <w:color w:val="000000"/>
              </w:rPr>
              <w:t>CMA 27/03/13</w:t>
            </w:r>
          </w:p>
          <w:p w14:paraId="1C3D7CC0" w14:textId="77777777" w:rsidR="00305BCD" w:rsidRDefault="00305BCD" w:rsidP="00BD5E90">
            <w:pPr>
              <w:rPr>
                <w:rStyle w:val="Emphasis"/>
                <w:rFonts w:cstheme="minorHAnsi"/>
                <w:i w:val="0"/>
                <w:color w:val="000000"/>
              </w:rPr>
            </w:pPr>
          </w:p>
          <w:p w14:paraId="7DE7A1C5" w14:textId="77777777" w:rsidR="00305BCD" w:rsidRPr="00015E63" w:rsidRDefault="00305BCD" w:rsidP="00BD5E90">
            <w:pPr>
              <w:rPr>
                <w:rStyle w:val="Emphasis"/>
                <w:rFonts w:cstheme="minorHAnsi"/>
                <w:i w:val="0"/>
                <w:color w:val="000000"/>
              </w:rPr>
            </w:pPr>
            <w:r>
              <w:t>EMA/70979/2013</w:t>
            </w:r>
          </w:p>
        </w:tc>
        <w:tc>
          <w:tcPr>
            <w:tcW w:w="3093" w:type="dxa"/>
          </w:tcPr>
          <w:p w14:paraId="3A360278" w14:textId="77777777" w:rsidR="00305BCD" w:rsidRDefault="00305BCD" w:rsidP="00015E63">
            <w:r>
              <w:t>Bosulif is indicated for the treatment of adult patients with chronic phase (CP), accelerated phase (AP), and blast phase (BP) Philadelphia chromosome positive chronic myelogenous leukaemia (Ph+ CML) previously treated with one or more tyrosine kinase inhibitor(s) and for whom imatinib, nilotinib and dasatinib are not considered appropriate treatment options.</w:t>
            </w:r>
          </w:p>
        </w:tc>
        <w:tc>
          <w:tcPr>
            <w:tcW w:w="3926" w:type="dxa"/>
          </w:tcPr>
          <w:p w14:paraId="450991D5" w14:textId="77777777" w:rsidR="00305BCD" w:rsidRDefault="00305BCD" w:rsidP="00BD5E90">
            <w:r>
              <w:t>3160A4-200-WW Phase I/II Pivotal: Clinical evaluation of efficacy CP CML patients who were resistant to imatinib: • MCyR (PCyR or CCyR) at 24 weeks</w:t>
            </w:r>
          </w:p>
          <w:p w14:paraId="1B2C62DC" w14:textId="77777777" w:rsidR="00305BCD" w:rsidRDefault="00305BCD" w:rsidP="00BD5E90"/>
          <w:p w14:paraId="10D95A88" w14:textId="77777777" w:rsidR="00305BCD" w:rsidRDefault="00305BCD" w:rsidP="00BD5E90">
            <w:r>
              <w:t>Compassionate use supportive study</w:t>
            </w:r>
          </w:p>
          <w:p w14:paraId="7D72C741" w14:textId="77777777" w:rsidR="00305BCD" w:rsidRDefault="00305BCD" w:rsidP="00BD5E90"/>
          <w:p w14:paraId="3752FD21" w14:textId="77777777" w:rsidR="00305BCD" w:rsidRDefault="00305BCD" w:rsidP="00BD5E90">
            <w:r>
              <w:t>3000-WW Phase III Supportive*: CCyR rate at 1 year based on ITT population.</w:t>
            </w:r>
          </w:p>
          <w:p w14:paraId="05C59FDA" w14:textId="77777777" w:rsidR="00305BCD" w:rsidRDefault="00305BCD" w:rsidP="00BD5E90"/>
          <w:p w14:paraId="09921EE7" w14:textId="77777777" w:rsidR="00305BCD" w:rsidRDefault="00305BCD" w:rsidP="00BD5E90">
            <w:r>
              <w:t>*originally pivotal but 200-WW better</w:t>
            </w:r>
          </w:p>
        </w:tc>
        <w:tc>
          <w:tcPr>
            <w:tcW w:w="1932" w:type="dxa"/>
          </w:tcPr>
          <w:p w14:paraId="45B839F1" w14:textId="77777777" w:rsidR="00305BCD" w:rsidRDefault="00305BCD" w:rsidP="00BD5E90">
            <w:r>
              <w:t>Yes:</w:t>
            </w:r>
          </w:p>
          <w:p w14:paraId="4793AAF7" w14:textId="77777777" w:rsidR="00305BCD" w:rsidRDefault="00305BCD" w:rsidP="00BD5E90"/>
          <w:p w14:paraId="0712AC76" w14:textId="77777777" w:rsidR="00305BCD" w:rsidRDefault="00305BCD" w:rsidP="00BD5E90">
            <w:r>
              <w:t>Major cytogenic response (pivotal)</w:t>
            </w:r>
          </w:p>
          <w:p w14:paraId="726EDF77" w14:textId="77777777" w:rsidR="00305BCD" w:rsidRDefault="00305BCD" w:rsidP="00BD5E90"/>
          <w:p w14:paraId="227FC5B4" w14:textId="77777777" w:rsidR="00305BCD" w:rsidRDefault="00305BCD" w:rsidP="00BD5E90">
            <w:r>
              <w:t>Complete cytogenic response rate</w:t>
            </w:r>
          </w:p>
        </w:tc>
      </w:tr>
      <w:tr w:rsidR="00305BCD" w14:paraId="6DF6EE78" w14:textId="77777777" w:rsidTr="009C0297">
        <w:tc>
          <w:tcPr>
            <w:tcW w:w="2673" w:type="dxa"/>
          </w:tcPr>
          <w:p w14:paraId="440FE63B" w14:textId="77777777" w:rsidR="00305BCD" w:rsidRDefault="00305BCD" w:rsidP="00BD5E90">
            <w:pPr>
              <w:rPr>
                <w:rStyle w:val="Emphasis"/>
                <w:rFonts w:cstheme="minorHAnsi"/>
                <w:b/>
                <w:i w:val="0"/>
                <w:color w:val="000000"/>
              </w:rPr>
            </w:pPr>
            <w:r>
              <w:rPr>
                <w:rStyle w:val="Emphasis"/>
                <w:rFonts w:cstheme="minorHAnsi"/>
                <w:b/>
                <w:i w:val="0"/>
                <w:color w:val="000000"/>
              </w:rPr>
              <w:t>obeticholic acid</w:t>
            </w:r>
          </w:p>
          <w:p w14:paraId="310044F8" w14:textId="77777777" w:rsidR="00305BCD" w:rsidRDefault="00305BCD" w:rsidP="00BD5E90">
            <w:pPr>
              <w:rPr>
                <w:rStyle w:val="Emphasis"/>
                <w:rFonts w:cstheme="minorHAnsi"/>
                <w:b/>
                <w:i w:val="0"/>
                <w:color w:val="000000"/>
              </w:rPr>
            </w:pPr>
          </w:p>
          <w:p w14:paraId="7262A845" w14:textId="77777777" w:rsidR="00305BCD" w:rsidRDefault="00305BCD" w:rsidP="00BD5E90">
            <w:pPr>
              <w:rPr>
                <w:rStyle w:val="Emphasis"/>
                <w:rFonts w:cstheme="minorHAnsi"/>
                <w:i w:val="0"/>
                <w:color w:val="000000"/>
              </w:rPr>
            </w:pPr>
            <w:r>
              <w:rPr>
                <w:rStyle w:val="Emphasis"/>
                <w:rFonts w:cstheme="minorHAnsi"/>
                <w:i w:val="0"/>
                <w:color w:val="000000"/>
              </w:rPr>
              <w:lastRenderedPageBreak/>
              <w:t>Ocaliva</w:t>
            </w:r>
          </w:p>
          <w:p w14:paraId="4DDE5886" w14:textId="77777777" w:rsidR="00305BCD" w:rsidRDefault="00305BCD" w:rsidP="00BD5E90">
            <w:pPr>
              <w:rPr>
                <w:rStyle w:val="Emphasis"/>
                <w:rFonts w:cstheme="minorHAnsi"/>
                <w:i w:val="0"/>
                <w:color w:val="000000"/>
              </w:rPr>
            </w:pPr>
          </w:p>
          <w:p w14:paraId="65F6F773" w14:textId="77777777" w:rsidR="00305BCD" w:rsidRDefault="00305BCD" w:rsidP="00BD5E90">
            <w:pPr>
              <w:rPr>
                <w:rStyle w:val="Emphasis"/>
                <w:rFonts w:cstheme="minorHAnsi"/>
                <w:i w:val="0"/>
                <w:color w:val="000000"/>
              </w:rPr>
            </w:pPr>
            <w:r>
              <w:rPr>
                <w:rStyle w:val="Emphasis"/>
                <w:rFonts w:cstheme="minorHAnsi"/>
                <w:i w:val="0"/>
                <w:color w:val="000000"/>
              </w:rPr>
              <w:t>CMA 12/12/16</w:t>
            </w:r>
          </w:p>
          <w:p w14:paraId="4E7FF0C3" w14:textId="77777777" w:rsidR="00305BCD" w:rsidRDefault="00305BCD" w:rsidP="00BD5E90">
            <w:pPr>
              <w:rPr>
                <w:rStyle w:val="Emphasis"/>
                <w:rFonts w:cstheme="minorHAnsi"/>
                <w:i w:val="0"/>
                <w:color w:val="000000"/>
              </w:rPr>
            </w:pPr>
          </w:p>
          <w:p w14:paraId="1D443798" w14:textId="77777777" w:rsidR="00305BCD" w:rsidRPr="0054489A" w:rsidRDefault="00305BCD" w:rsidP="00BD5E90">
            <w:pPr>
              <w:rPr>
                <w:rStyle w:val="Emphasis"/>
                <w:rFonts w:cstheme="minorHAnsi"/>
                <w:i w:val="0"/>
                <w:color w:val="000000"/>
              </w:rPr>
            </w:pPr>
            <w:r>
              <w:t>EMA/725757/2016</w:t>
            </w:r>
          </w:p>
        </w:tc>
        <w:tc>
          <w:tcPr>
            <w:tcW w:w="3093" w:type="dxa"/>
          </w:tcPr>
          <w:p w14:paraId="5D157206" w14:textId="77777777" w:rsidR="00305BCD" w:rsidRDefault="00305BCD" w:rsidP="00BD5E90">
            <w:r>
              <w:lastRenderedPageBreak/>
              <w:t xml:space="preserve">OCALIVA is indicated for the treatment of primary biliary </w:t>
            </w:r>
            <w:r>
              <w:lastRenderedPageBreak/>
              <w:t>cholangitis (also known as primary biliary cirrhosis) in combination with ursodeoxycholic acid (UDCA) in adults with an inadequate response to UDCA or as monotherapy in adults unable to tolerate UDCA.</w:t>
            </w:r>
          </w:p>
        </w:tc>
        <w:tc>
          <w:tcPr>
            <w:tcW w:w="3926" w:type="dxa"/>
          </w:tcPr>
          <w:p w14:paraId="1AC425AD" w14:textId="77777777" w:rsidR="00305BCD" w:rsidRDefault="00305BCD" w:rsidP="004B1318">
            <w:r>
              <w:lastRenderedPageBreak/>
              <w:t xml:space="preserve">747-301 Phase III Pivotal: Percentage of subjects (OCA 10 mg vs. placebo) </w:t>
            </w:r>
            <w:r>
              <w:lastRenderedPageBreak/>
              <w:t>achieving composite endpoint at Month 12. (Defined as the percentage of subjects reaching an ALP &lt;1.67x ULN and a ≥15% reduction in ALP and a total bilirubin ≤ULN)</w:t>
            </w:r>
          </w:p>
          <w:p w14:paraId="71E61AFD" w14:textId="77777777" w:rsidR="00305BCD" w:rsidRDefault="00305BCD" w:rsidP="004B1318"/>
          <w:p w14:paraId="23A63E25" w14:textId="77777777" w:rsidR="00305BCD" w:rsidRDefault="00305BCD" w:rsidP="004B1318">
            <w:r>
              <w:t>747-205 Phase II Supportive: the efficacy variables were related with different lipid metabolism parameters (HDLc concentration, total cholesterol, etc.).</w:t>
            </w:r>
          </w:p>
          <w:p w14:paraId="3BAACA03" w14:textId="77777777" w:rsidR="00305BCD" w:rsidRDefault="00305BCD" w:rsidP="004B1318"/>
          <w:p w14:paraId="2214B440" w14:textId="77777777" w:rsidR="00305BCD" w:rsidRDefault="00305BCD" w:rsidP="00BD5E90">
            <w:r>
              <w:t>Plus three LTSE supportive studies</w:t>
            </w:r>
          </w:p>
        </w:tc>
        <w:tc>
          <w:tcPr>
            <w:tcW w:w="1932" w:type="dxa"/>
          </w:tcPr>
          <w:p w14:paraId="0F53C8F4" w14:textId="77777777" w:rsidR="00305BCD" w:rsidRDefault="00305BCD" w:rsidP="00BD5E90">
            <w:r>
              <w:lastRenderedPageBreak/>
              <w:t>Yes:</w:t>
            </w:r>
          </w:p>
          <w:p w14:paraId="1C50F9FB" w14:textId="77777777" w:rsidR="00305BCD" w:rsidRDefault="00305BCD" w:rsidP="00BD5E90"/>
          <w:p w14:paraId="6992D4A5" w14:textId="77777777" w:rsidR="00305BCD" w:rsidRDefault="00305BCD" w:rsidP="00BD5E90">
            <w:r>
              <w:lastRenderedPageBreak/>
              <w:t>Composite: ALP&lt; 1.67 x ULN and a ≥15% reduction in ALP and a total bilirubin ≤ULN (pivotal)</w:t>
            </w:r>
          </w:p>
          <w:p w14:paraId="40F49C34" w14:textId="77777777" w:rsidR="00305BCD" w:rsidRDefault="00305BCD" w:rsidP="00BD5E90"/>
          <w:p w14:paraId="03193DB4" w14:textId="77777777" w:rsidR="00305BCD" w:rsidRDefault="00305BCD" w:rsidP="00BD5E90">
            <w:r>
              <w:t>Change in HDLc concentration/</w:t>
            </w:r>
          </w:p>
          <w:p w14:paraId="7A60C873" w14:textId="77777777" w:rsidR="00305BCD" w:rsidRDefault="00305BCD" w:rsidP="00BD5E90">
            <w:r>
              <w:t>particle concentration</w:t>
            </w:r>
          </w:p>
        </w:tc>
      </w:tr>
      <w:tr w:rsidR="00305BCD" w14:paraId="3EF6B968" w14:textId="77777777" w:rsidTr="009C0297">
        <w:tc>
          <w:tcPr>
            <w:tcW w:w="2673" w:type="dxa"/>
          </w:tcPr>
          <w:p w14:paraId="35276AC1" w14:textId="77777777" w:rsidR="00305BCD" w:rsidRDefault="00305BCD" w:rsidP="00BD5E90">
            <w:pPr>
              <w:rPr>
                <w:rStyle w:val="Emphasis"/>
                <w:rFonts w:cstheme="minorHAnsi"/>
                <w:b/>
                <w:i w:val="0"/>
                <w:color w:val="000000"/>
              </w:rPr>
            </w:pPr>
            <w:r w:rsidRPr="004B1318">
              <w:rPr>
                <w:rStyle w:val="Emphasis"/>
                <w:rFonts w:cstheme="minorHAnsi"/>
                <w:b/>
                <w:i w:val="0"/>
                <w:color w:val="000000"/>
              </w:rPr>
              <w:lastRenderedPageBreak/>
              <w:t>ex vivo expanded autologous human corneal epithelial cells containing stem cells</w:t>
            </w:r>
          </w:p>
          <w:p w14:paraId="44373D03" w14:textId="77777777" w:rsidR="00305BCD" w:rsidRDefault="00305BCD" w:rsidP="00BD5E90">
            <w:pPr>
              <w:rPr>
                <w:rStyle w:val="Emphasis"/>
                <w:rFonts w:cstheme="minorHAnsi"/>
                <w:b/>
                <w:i w:val="0"/>
                <w:color w:val="000000"/>
              </w:rPr>
            </w:pPr>
          </w:p>
          <w:p w14:paraId="162C8032" w14:textId="77777777" w:rsidR="00305BCD" w:rsidRDefault="00305BCD" w:rsidP="00BD5E90">
            <w:pPr>
              <w:rPr>
                <w:rStyle w:val="Emphasis"/>
                <w:rFonts w:cstheme="minorHAnsi"/>
                <w:i w:val="0"/>
                <w:color w:val="000000"/>
              </w:rPr>
            </w:pPr>
            <w:r>
              <w:rPr>
                <w:rStyle w:val="Emphasis"/>
                <w:rFonts w:cstheme="minorHAnsi"/>
                <w:i w:val="0"/>
                <w:color w:val="000000"/>
              </w:rPr>
              <w:t>Holoclar</w:t>
            </w:r>
          </w:p>
          <w:p w14:paraId="443ECB6A" w14:textId="77777777" w:rsidR="00305BCD" w:rsidRDefault="00305BCD" w:rsidP="00BD5E90">
            <w:pPr>
              <w:rPr>
                <w:rStyle w:val="Emphasis"/>
                <w:rFonts w:cstheme="minorHAnsi"/>
                <w:i w:val="0"/>
                <w:color w:val="000000"/>
              </w:rPr>
            </w:pPr>
          </w:p>
          <w:p w14:paraId="380E85C3" w14:textId="77777777" w:rsidR="00305BCD" w:rsidRDefault="00305BCD" w:rsidP="00BD5E90">
            <w:pPr>
              <w:rPr>
                <w:rStyle w:val="Emphasis"/>
                <w:rFonts w:cstheme="minorHAnsi"/>
                <w:i w:val="0"/>
                <w:color w:val="000000"/>
              </w:rPr>
            </w:pPr>
            <w:r>
              <w:rPr>
                <w:rStyle w:val="Emphasis"/>
                <w:rFonts w:cstheme="minorHAnsi"/>
                <w:i w:val="0"/>
                <w:color w:val="000000"/>
              </w:rPr>
              <w:t>CMA 17/02/15</w:t>
            </w:r>
          </w:p>
          <w:p w14:paraId="202E6508" w14:textId="77777777" w:rsidR="00305BCD" w:rsidRDefault="00305BCD" w:rsidP="00BD5E90">
            <w:pPr>
              <w:rPr>
                <w:rStyle w:val="Emphasis"/>
                <w:rFonts w:cstheme="minorHAnsi"/>
                <w:i w:val="0"/>
                <w:color w:val="000000"/>
              </w:rPr>
            </w:pPr>
          </w:p>
          <w:p w14:paraId="2EE6998E" w14:textId="77777777" w:rsidR="00305BCD" w:rsidRPr="004B1318" w:rsidRDefault="00305BCD" w:rsidP="00BD5E90">
            <w:pPr>
              <w:rPr>
                <w:rStyle w:val="Emphasis"/>
                <w:rFonts w:cstheme="minorHAnsi"/>
                <w:i w:val="0"/>
                <w:color w:val="000000"/>
              </w:rPr>
            </w:pPr>
            <w:r>
              <w:t>EMA/25273/2015</w:t>
            </w:r>
          </w:p>
        </w:tc>
        <w:tc>
          <w:tcPr>
            <w:tcW w:w="3093" w:type="dxa"/>
          </w:tcPr>
          <w:p w14:paraId="5F9DB885" w14:textId="77777777" w:rsidR="00305BCD" w:rsidRDefault="00305BCD" w:rsidP="00BD5E90">
            <w:r>
              <w:t>Non-drug based so N/A</w:t>
            </w:r>
          </w:p>
        </w:tc>
        <w:tc>
          <w:tcPr>
            <w:tcW w:w="3926" w:type="dxa"/>
          </w:tcPr>
          <w:p w14:paraId="40BCC1A6" w14:textId="77777777" w:rsidR="00305BCD" w:rsidRDefault="00305BCD" w:rsidP="004B1318">
            <w:r>
              <w:t>N/A</w:t>
            </w:r>
          </w:p>
        </w:tc>
        <w:tc>
          <w:tcPr>
            <w:tcW w:w="1932" w:type="dxa"/>
          </w:tcPr>
          <w:p w14:paraId="245DD665" w14:textId="77777777" w:rsidR="00305BCD" w:rsidRDefault="00305BCD" w:rsidP="004B1318">
            <w:r>
              <w:t>N/A</w:t>
            </w:r>
          </w:p>
        </w:tc>
      </w:tr>
      <w:tr w:rsidR="00305BCD" w14:paraId="3BCF01B7" w14:textId="77777777" w:rsidTr="009C0297">
        <w:tc>
          <w:tcPr>
            <w:tcW w:w="2673" w:type="dxa"/>
          </w:tcPr>
          <w:p w14:paraId="1A33A705" w14:textId="77777777" w:rsidR="00305BCD" w:rsidRDefault="00305BCD" w:rsidP="00BD5E90">
            <w:pPr>
              <w:rPr>
                <w:rStyle w:val="Emphasis"/>
                <w:rFonts w:cstheme="minorHAnsi"/>
                <w:b/>
                <w:i w:val="0"/>
                <w:color w:val="000000"/>
              </w:rPr>
            </w:pPr>
            <w:r>
              <w:rPr>
                <w:rStyle w:val="Emphasis"/>
                <w:rFonts w:cstheme="minorHAnsi"/>
                <w:b/>
                <w:i w:val="0"/>
                <w:color w:val="000000"/>
              </w:rPr>
              <w:t>venetoclax</w:t>
            </w:r>
          </w:p>
          <w:p w14:paraId="4A9B354B" w14:textId="77777777" w:rsidR="00305BCD" w:rsidRDefault="00305BCD" w:rsidP="00BD5E90">
            <w:pPr>
              <w:rPr>
                <w:rStyle w:val="Emphasis"/>
                <w:rFonts w:cstheme="minorHAnsi"/>
                <w:b/>
                <w:i w:val="0"/>
                <w:color w:val="000000"/>
              </w:rPr>
            </w:pPr>
          </w:p>
          <w:p w14:paraId="3F586D37" w14:textId="77777777" w:rsidR="00305BCD" w:rsidRDefault="00305BCD" w:rsidP="00BD5E90">
            <w:pPr>
              <w:rPr>
                <w:rStyle w:val="Emphasis"/>
                <w:rFonts w:cstheme="minorHAnsi"/>
                <w:i w:val="0"/>
                <w:color w:val="000000"/>
              </w:rPr>
            </w:pPr>
            <w:r>
              <w:rPr>
                <w:rStyle w:val="Emphasis"/>
                <w:rFonts w:cstheme="minorHAnsi"/>
                <w:i w:val="0"/>
                <w:color w:val="000000"/>
              </w:rPr>
              <w:t>Venclyxto</w:t>
            </w:r>
          </w:p>
          <w:p w14:paraId="3E62B132" w14:textId="77777777" w:rsidR="00305BCD" w:rsidRDefault="00305BCD" w:rsidP="00BD5E90">
            <w:pPr>
              <w:rPr>
                <w:rStyle w:val="Emphasis"/>
                <w:rFonts w:cstheme="minorHAnsi"/>
                <w:i w:val="0"/>
                <w:color w:val="000000"/>
              </w:rPr>
            </w:pPr>
          </w:p>
          <w:p w14:paraId="6B349950" w14:textId="77777777" w:rsidR="00305BCD" w:rsidRDefault="00305BCD" w:rsidP="00BD5E90">
            <w:pPr>
              <w:rPr>
                <w:rStyle w:val="Emphasis"/>
                <w:rFonts w:cstheme="minorHAnsi"/>
                <w:i w:val="0"/>
                <w:color w:val="000000"/>
              </w:rPr>
            </w:pPr>
            <w:r>
              <w:rPr>
                <w:rStyle w:val="Emphasis"/>
                <w:rFonts w:cstheme="minorHAnsi"/>
                <w:i w:val="0"/>
                <w:color w:val="000000"/>
              </w:rPr>
              <w:t>CMA 05/12/16</w:t>
            </w:r>
          </w:p>
          <w:p w14:paraId="5BEA7D35" w14:textId="77777777" w:rsidR="00305BCD" w:rsidRDefault="00305BCD" w:rsidP="00BD5E90">
            <w:pPr>
              <w:rPr>
                <w:rStyle w:val="Emphasis"/>
                <w:rFonts w:cstheme="minorHAnsi"/>
                <w:i w:val="0"/>
                <w:color w:val="000000"/>
              </w:rPr>
            </w:pPr>
          </w:p>
          <w:p w14:paraId="4DD250DD" w14:textId="77777777" w:rsidR="00305BCD" w:rsidRDefault="00305BCD" w:rsidP="00BD5E90">
            <w:pPr>
              <w:rPr>
                <w:rStyle w:val="Emphasis"/>
                <w:rFonts w:cstheme="minorHAnsi"/>
                <w:i w:val="0"/>
                <w:color w:val="000000"/>
              </w:rPr>
            </w:pPr>
            <w:r>
              <w:rPr>
                <w:rStyle w:val="Emphasis"/>
                <w:rFonts w:cstheme="minorHAnsi"/>
                <w:i w:val="0"/>
                <w:color w:val="000000"/>
              </w:rPr>
              <w:t>Full MA 20/10/18</w:t>
            </w:r>
          </w:p>
          <w:p w14:paraId="18751CBB" w14:textId="77777777" w:rsidR="00305BCD" w:rsidRDefault="00305BCD" w:rsidP="00BD5E90">
            <w:pPr>
              <w:rPr>
                <w:rStyle w:val="Emphasis"/>
                <w:rFonts w:cstheme="minorHAnsi"/>
                <w:i w:val="0"/>
                <w:color w:val="000000"/>
              </w:rPr>
            </w:pPr>
          </w:p>
          <w:p w14:paraId="5FDC01BB" w14:textId="77777777" w:rsidR="00305BCD" w:rsidRPr="004B1318" w:rsidRDefault="00305BCD" w:rsidP="00BD5E90">
            <w:pPr>
              <w:rPr>
                <w:rStyle w:val="Emphasis"/>
                <w:rFonts w:cstheme="minorHAnsi"/>
                <w:i w:val="0"/>
                <w:color w:val="000000"/>
              </w:rPr>
            </w:pPr>
            <w:r>
              <w:t>EMA/725631/2016</w:t>
            </w:r>
          </w:p>
        </w:tc>
        <w:tc>
          <w:tcPr>
            <w:tcW w:w="3093" w:type="dxa"/>
          </w:tcPr>
          <w:p w14:paraId="163B4DEF" w14:textId="77777777" w:rsidR="00305BCD" w:rsidRDefault="00305BCD" w:rsidP="00BD5E90">
            <w:r>
              <w:t xml:space="preserve">Venclyxto monotherapy is indicated for the treatment of chronic lymphocytic leukaemia (CLL) in the presence of 17p deletion or TP53 mutation in adult patients who are unsuitable for or have failed a B-cell receptor pathway inhibitor. </w:t>
            </w:r>
          </w:p>
          <w:p w14:paraId="7C298BFC" w14:textId="77777777" w:rsidR="00305BCD" w:rsidRDefault="00305BCD" w:rsidP="00BD5E90"/>
          <w:p w14:paraId="60EC2B4C" w14:textId="77777777" w:rsidR="00305BCD" w:rsidRDefault="00305BCD" w:rsidP="00BD5E90">
            <w:r>
              <w:t>Venclyxto monotherapy is indicated for the treatment of CLL in the absence of 17p deletion or TP53 mutation in adult patients who have failed both chemoimmunotherapy and a B-cell receptor pathway inhibitor.</w:t>
            </w:r>
          </w:p>
        </w:tc>
        <w:tc>
          <w:tcPr>
            <w:tcW w:w="3926" w:type="dxa"/>
          </w:tcPr>
          <w:p w14:paraId="5F45DA0D" w14:textId="77777777" w:rsidR="00305BCD" w:rsidRDefault="00305BCD" w:rsidP="00BD5E90">
            <w:r>
              <w:t>M13-982 Phase II Pivotal: The assessment of ORR by IRC was performed once after 107 subjects had completed the 36 week disease assessment, had progressed prior to the 36-week disease assessment, discontinued study drug for any reason, or after all treated subjects had discontinued venetoclax, whichever was earlier.</w:t>
            </w:r>
          </w:p>
          <w:p w14:paraId="15CAFD97" w14:textId="77777777" w:rsidR="00305BCD" w:rsidRDefault="00305BCD" w:rsidP="00BD5E90"/>
          <w:p w14:paraId="276F4DAB" w14:textId="77777777" w:rsidR="00305BCD" w:rsidRDefault="00305BCD" w:rsidP="004B1318">
            <w:r>
              <w:t>M14-032 Phase II Supportive: ORR</w:t>
            </w:r>
          </w:p>
          <w:p w14:paraId="74035B5B" w14:textId="77777777" w:rsidR="00305BCD" w:rsidRDefault="00305BCD" w:rsidP="004B1318"/>
          <w:p w14:paraId="3FD4A1C7" w14:textId="77777777" w:rsidR="00305BCD" w:rsidRDefault="00305BCD" w:rsidP="004B1318">
            <w:r>
              <w:t>M13-365 Supportive: Primary was safety</w:t>
            </w:r>
          </w:p>
          <w:p w14:paraId="5B4F2289" w14:textId="77777777" w:rsidR="00305BCD" w:rsidRDefault="00305BCD" w:rsidP="004B1318"/>
          <w:p w14:paraId="05ECDA68" w14:textId="77777777" w:rsidR="00305BCD" w:rsidRDefault="00305BCD" w:rsidP="00BD5E90"/>
        </w:tc>
        <w:tc>
          <w:tcPr>
            <w:tcW w:w="1932" w:type="dxa"/>
          </w:tcPr>
          <w:p w14:paraId="6A838C30" w14:textId="77777777" w:rsidR="00305BCD" w:rsidRDefault="00305BCD" w:rsidP="00BD5E90">
            <w:r>
              <w:t>Yes:</w:t>
            </w:r>
          </w:p>
          <w:p w14:paraId="53A6076B" w14:textId="77777777" w:rsidR="00305BCD" w:rsidRDefault="00305BCD" w:rsidP="00BD5E90"/>
          <w:p w14:paraId="237788FC" w14:textId="77777777" w:rsidR="00305BCD" w:rsidRDefault="00305BCD" w:rsidP="00BD5E90">
            <w:r>
              <w:t>Overall response rate by IRC (pivotal)</w:t>
            </w:r>
          </w:p>
        </w:tc>
      </w:tr>
      <w:tr w:rsidR="00305BCD" w14:paraId="6E26B486" w14:textId="77777777" w:rsidTr="009C0297">
        <w:tc>
          <w:tcPr>
            <w:tcW w:w="2673" w:type="dxa"/>
          </w:tcPr>
          <w:p w14:paraId="0F819EFA" w14:textId="77777777" w:rsidR="00305BCD" w:rsidRDefault="00305BCD" w:rsidP="004B1318">
            <w:pPr>
              <w:rPr>
                <w:rStyle w:val="Emphasis"/>
                <w:rFonts w:cstheme="minorHAnsi"/>
                <w:b/>
                <w:i w:val="0"/>
                <w:color w:val="000000"/>
              </w:rPr>
            </w:pPr>
            <w:r w:rsidRPr="004B1318">
              <w:rPr>
                <w:rStyle w:val="Emphasis"/>
                <w:rFonts w:cstheme="minorHAnsi"/>
                <w:b/>
                <w:i w:val="0"/>
                <w:color w:val="000000"/>
              </w:rPr>
              <w:t>pandemic influenza vaccine (H5N1) (live attenuated, nasal)</w:t>
            </w:r>
          </w:p>
          <w:p w14:paraId="7ABC99F5" w14:textId="77777777" w:rsidR="00305BCD" w:rsidRDefault="00305BCD" w:rsidP="004B1318">
            <w:pPr>
              <w:rPr>
                <w:rStyle w:val="Emphasis"/>
                <w:rFonts w:cstheme="minorHAnsi"/>
                <w:b/>
                <w:i w:val="0"/>
                <w:color w:val="000000"/>
              </w:rPr>
            </w:pPr>
          </w:p>
          <w:p w14:paraId="306B5499" w14:textId="77777777" w:rsidR="00305BCD" w:rsidRDefault="00305BCD" w:rsidP="004B1318">
            <w:pPr>
              <w:rPr>
                <w:rFonts w:cstheme="minorHAnsi"/>
                <w:color w:val="000000"/>
              </w:rPr>
            </w:pPr>
            <w:r w:rsidRPr="004B1318">
              <w:rPr>
                <w:rFonts w:cstheme="minorHAnsi"/>
                <w:color w:val="000000"/>
              </w:rPr>
              <w:t>Pandemic influenza vaccine H5N1 AstraZeneca </w:t>
            </w:r>
          </w:p>
          <w:p w14:paraId="20995085" w14:textId="77777777" w:rsidR="00305BCD" w:rsidRDefault="00305BCD" w:rsidP="004B1318">
            <w:pPr>
              <w:rPr>
                <w:rFonts w:cstheme="minorHAnsi"/>
                <w:color w:val="000000"/>
              </w:rPr>
            </w:pPr>
          </w:p>
          <w:p w14:paraId="34B2B71D" w14:textId="77777777" w:rsidR="00305BCD" w:rsidRDefault="00305BCD" w:rsidP="004B1318">
            <w:r>
              <w:t>CMA 20/05/16</w:t>
            </w:r>
          </w:p>
          <w:p w14:paraId="4727A13C" w14:textId="77777777" w:rsidR="00305BCD" w:rsidRDefault="00305BCD" w:rsidP="004B1318"/>
          <w:p w14:paraId="5661627F" w14:textId="77777777" w:rsidR="00305BCD" w:rsidRDefault="00305BCD" w:rsidP="004B1318"/>
          <w:p w14:paraId="710C8AF5" w14:textId="77777777" w:rsidR="00305BCD" w:rsidRPr="004B1318" w:rsidRDefault="00305BCD" w:rsidP="00BD5E90">
            <w:pPr>
              <w:rPr>
                <w:rStyle w:val="Emphasis"/>
                <w:rFonts w:cstheme="minorHAnsi"/>
                <w:i w:val="0"/>
                <w:color w:val="000000"/>
              </w:rPr>
            </w:pPr>
            <w:r>
              <w:t>EMA/CHMP/323530/2016</w:t>
            </w:r>
          </w:p>
        </w:tc>
        <w:tc>
          <w:tcPr>
            <w:tcW w:w="3093" w:type="dxa"/>
          </w:tcPr>
          <w:p w14:paraId="093BDDA1" w14:textId="77777777" w:rsidR="00305BCD" w:rsidRDefault="00305BCD" w:rsidP="00BD5E90">
            <w:r>
              <w:t>Prophylaxis of influenza in an officially declared pandemic situation in children and adolescents from 12 months to less than 18 years of age</w:t>
            </w:r>
          </w:p>
        </w:tc>
        <w:tc>
          <w:tcPr>
            <w:tcW w:w="3926" w:type="dxa"/>
          </w:tcPr>
          <w:p w14:paraId="58B23072" w14:textId="77777777" w:rsidR="00305BCD" w:rsidRDefault="00305BCD" w:rsidP="00BD5E90">
            <w:r>
              <w:t>CIR 217, CIR 239 Phase I Pivotal: In P/LAIV studies CIR 217 (ca A/Vietnam/1203/2004 [H5N1] vaccine) and CIR 239 (ca A/Hong Kong/213/2003 [H5N1] vaccine), antibody responses were measured by assays for serum haemagglutination inhibition (HAI), microneutralisation (MN), immunoglobulin G (IgG), and immunoglobulin A (IgA) and nasal IgA assays.</w:t>
            </w:r>
          </w:p>
          <w:p w14:paraId="46F95FC7" w14:textId="77777777" w:rsidR="00305BCD" w:rsidRDefault="00305BCD" w:rsidP="00BD5E90"/>
          <w:p w14:paraId="67DC3161" w14:textId="77777777" w:rsidR="00305BCD" w:rsidRDefault="00305BCD" w:rsidP="004B1318">
            <w:r>
              <w:t xml:space="preserve">CIR 277 Pivotal: Primary was safety </w:t>
            </w:r>
          </w:p>
        </w:tc>
        <w:tc>
          <w:tcPr>
            <w:tcW w:w="1932" w:type="dxa"/>
          </w:tcPr>
          <w:p w14:paraId="055F3926" w14:textId="77777777" w:rsidR="00305BCD" w:rsidRDefault="00305BCD" w:rsidP="00BD5E90">
            <w:r>
              <w:t>Yes:</w:t>
            </w:r>
          </w:p>
          <w:p w14:paraId="3120114A" w14:textId="77777777" w:rsidR="00305BCD" w:rsidRDefault="00305BCD" w:rsidP="00BD5E90"/>
          <w:p w14:paraId="36441D59" w14:textId="77777777" w:rsidR="00305BCD" w:rsidRDefault="00305BCD" w:rsidP="00BD5E90">
            <w:r>
              <w:t>Antibody responses – serum AI, MN, IgG, (nasal) IgA assays (pivotal)</w:t>
            </w:r>
          </w:p>
        </w:tc>
      </w:tr>
      <w:tr w:rsidR="00305BCD" w14:paraId="2DF330AC" w14:textId="77777777" w:rsidTr="009C0297">
        <w:tc>
          <w:tcPr>
            <w:tcW w:w="2673" w:type="dxa"/>
          </w:tcPr>
          <w:p w14:paraId="5DE866AC" w14:textId="77777777" w:rsidR="00305BCD" w:rsidRDefault="00305BCD" w:rsidP="00BD5E90">
            <w:pPr>
              <w:rPr>
                <w:rStyle w:val="Emphasis"/>
                <w:rFonts w:cstheme="minorHAnsi"/>
                <w:b/>
                <w:i w:val="0"/>
                <w:color w:val="000000"/>
              </w:rPr>
            </w:pPr>
            <w:r>
              <w:rPr>
                <w:rStyle w:val="Emphasis"/>
                <w:rFonts w:cstheme="minorHAnsi"/>
                <w:b/>
                <w:i w:val="0"/>
                <w:color w:val="000000"/>
              </w:rPr>
              <w:t>avapritinib</w:t>
            </w:r>
          </w:p>
          <w:p w14:paraId="37B7C733" w14:textId="77777777" w:rsidR="00305BCD" w:rsidRDefault="00305BCD" w:rsidP="00BD5E90">
            <w:pPr>
              <w:rPr>
                <w:rStyle w:val="Emphasis"/>
                <w:rFonts w:cstheme="minorHAnsi"/>
                <w:b/>
                <w:i w:val="0"/>
                <w:color w:val="000000"/>
              </w:rPr>
            </w:pPr>
          </w:p>
          <w:p w14:paraId="2061CCE4" w14:textId="77777777" w:rsidR="00305BCD" w:rsidRDefault="00305BCD" w:rsidP="00BD5E90">
            <w:pPr>
              <w:rPr>
                <w:rStyle w:val="Emphasis"/>
                <w:rFonts w:cstheme="minorHAnsi"/>
                <w:i w:val="0"/>
                <w:color w:val="000000"/>
              </w:rPr>
            </w:pPr>
            <w:r>
              <w:rPr>
                <w:rStyle w:val="Emphasis"/>
                <w:rFonts w:cstheme="minorHAnsi"/>
                <w:i w:val="0"/>
                <w:color w:val="000000"/>
              </w:rPr>
              <w:t>Ayvakyt</w:t>
            </w:r>
          </w:p>
          <w:p w14:paraId="62FE06BD" w14:textId="77777777" w:rsidR="00305BCD" w:rsidRDefault="00305BCD" w:rsidP="00BD5E90">
            <w:pPr>
              <w:rPr>
                <w:rStyle w:val="Emphasis"/>
                <w:rFonts w:cstheme="minorHAnsi"/>
                <w:i w:val="0"/>
                <w:color w:val="000000"/>
              </w:rPr>
            </w:pPr>
          </w:p>
          <w:p w14:paraId="46557E8A" w14:textId="77777777" w:rsidR="00305BCD" w:rsidRDefault="00305BCD" w:rsidP="00BD5E90">
            <w:pPr>
              <w:rPr>
                <w:rStyle w:val="Emphasis"/>
                <w:rFonts w:cstheme="minorHAnsi"/>
                <w:i w:val="0"/>
                <w:color w:val="000000"/>
              </w:rPr>
            </w:pPr>
            <w:r>
              <w:rPr>
                <w:rStyle w:val="Emphasis"/>
                <w:rFonts w:cstheme="minorHAnsi"/>
                <w:i w:val="0"/>
                <w:color w:val="000000"/>
              </w:rPr>
              <w:lastRenderedPageBreak/>
              <w:t>CMA 24/09/20</w:t>
            </w:r>
          </w:p>
          <w:p w14:paraId="58E453F7" w14:textId="77777777" w:rsidR="00305BCD" w:rsidRDefault="00305BCD" w:rsidP="00BD5E90">
            <w:pPr>
              <w:rPr>
                <w:rStyle w:val="Emphasis"/>
                <w:rFonts w:cstheme="minorHAnsi"/>
                <w:i w:val="0"/>
                <w:color w:val="000000"/>
              </w:rPr>
            </w:pPr>
          </w:p>
          <w:p w14:paraId="4A7610C8" w14:textId="77777777" w:rsidR="00305BCD" w:rsidRPr="004B1318" w:rsidRDefault="00305BCD" w:rsidP="005C69F0">
            <w:pPr>
              <w:rPr>
                <w:rStyle w:val="Emphasis"/>
                <w:rFonts w:cstheme="minorHAnsi"/>
                <w:b/>
                <w:i w:val="0"/>
                <w:color w:val="000000"/>
              </w:rPr>
            </w:pPr>
            <w:r>
              <w:t>EMA/451735/2020</w:t>
            </w:r>
          </w:p>
        </w:tc>
        <w:tc>
          <w:tcPr>
            <w:tcW w:w="3093" w:type="dxa"/>
          </w:tcPr>
          <w:p w14:paraId="2E6EB1A2" w14:textId="77777777" w:rsidR="00305BCD" w:rsidRDefault="00305BCD" w:rsidP="00BD5E90">
            <w:r>
              <w:lastRenderedPageBreak/>
              <w:t xml:space="preserve">Ayvakyt is indicated as monotherapy for the treatment of adult patients with unresectable or metastatic </w:t>
            </w:r>
            <w:r>
              <w:lastRenderedPageBreak/>
              <w:t>gastrointestinal stromal tumours (GIST) harbouring the platelet-derived growth factor receptor alpha (PDGFRA) D842V mutation.</w:t>
            </w:r>
          </w:p>
        </w:tc>
        <w:tc>
          <w:tcPr>
            <w:tcW w:w="3926" w:type="dxa"/>
          </w:tcPr>
          <w:p w14:paraId="67A159AF" w14:textId="77777777" w:rsidR="00305BCD" w:rsidRDefault="00305BCD" w:rsidP="00BD5E90">
            <w:r>
              <w:lastRenderedPageBreak/>
              <w:t xml:space="preserve">BLU-285-1101 Phase I Pivotal: The primary endpoints were: • ORR, defined as the rate of centrally confirmed CR or PR by mRECIST version 1.1 Overall safety </w:t>
            </w:r>
            <w:r>
              <w:lastRenderedPageBreak/>
              <w:t>profile of avapritinib, as assessed by the type, frequency, severity, timing, and relationship to study drug of any AEs, SAEs, and changes in vital signs, ECGs, and safety laboratory tests.</w:t>
            </w:r>
          </w:p>
          <w:p w14:paraId="33FA7381" w14:textId="77777777" w:rsidR="00305BCD" w:rsidRDefault="00305BCD" w:rsidP="00BD5E90"/>
          <w:p w14:paraId="2A2DE90B" w14:textId="77777777" w:rsidR="00305BCD" w:rsidRDefault="00305BCD" w:rsidP="00BD5E90">
            <w:r>
              <w:t>BLU-285-1002 Retrospective Supportive: The efficacy analysis across the first-line treatment, second-line treatment, and third-line treatment populations was based principally on best overall response/ORR, DOR, and PFS with OS investigated as a secondary efficacy endpoint</w:t>
            </w:r>
          </w:p>
          <w:p w14:paraId="3E5201EB" w14:textId="77777777" w:rsidR="00305BCD" w:rsidRDefault="00305BCD" w:rsidP="00BD5E90"/>
          <w:p w14:paraId="6B2073AD" w14:textId="77777777" w:rsidR="00305BCD" w:rsidRDefault="00305BCD" w:rsidP="00BD5E90">
            <w:r>
              <w:t>BLU-285-1303 Phase III Supportive: The primary efficacy endpoint was PFS by blinded, independent central radiology review, based on mRECIST v1.1 criteria for GIST</w:t>
            </w:r>
          </w:p>
          <w:p w14:paraId="5702B5D9" w14:textId="77777777" w:rsidR="00305BCD" w:rsidRDefault="00305BCD" w:rsidP="00BD5E90"/>
          <w:p w14:paraId="1E07255E" w14:textId="77777777" w:rsidR="00305BCD" w:rsidRDefault="00305BCD" w:rsidP="004B1318">
            <w:r>
              <w:t>BLU-285-1105 Phase I/II Supportive: Ongoing</w:t>
            </w:r>
          </w:p>
        </w:tc>
        <w:tc>
          <w:tcPr>
            <w:tcW w:w="1932" w:type="dxa"/>
          </w:tcPr>
          <w:p w14:paraId="13315155" w14:textId="77777777" w:rsidR="00305BCD" w:rsidRDefault="00305BCD" w:rsidP="00BD5E90">
            <w:r>
              <w:lastRenderedPageBreak/>
              <w:t>Yes:</w:t>
            </w:r>
          </w:p>
          <w:p w14:paraId="6609D69C" w14:textId="77777777" w:rsidR="00305BCD" w:rsidRDefault="00305BCD" w:rsidP="00BD5E90"/>
          <w:p w14:paraId="227B095F" w14:textId="77777777" w:rsidR="00305BCD" w:rsidRDefault="00305BCD" w:rsidP="00BD5E90">
            <w:r>
              <w:t>Overall response rate (pivotal)</w:t>
            </w:r>
          </w:p>
          <w:p w14:paraId="65234E29" w14:textId="77777777" w:rsidR="00305BCD" w:rsidRDefault="00305BCD" w:rsidP="00BD5E90"/>
          <w:p w14:paraId="167A7422" w14:textId="77777777" w:rsidR="00305BCD" w:rsidRDefault="00305BCD" w:rsidP="00BD5E90">
            <w:r>
              <w:t>Duration of response</w:t>
            </w:r>
          </w:p>
          <w:p w14:paraId="72C5EBC7" w14:textId="77777777" w:rsidR="00305BCD" w:rsidRDefault="00305BCD" w:rsidP="00BD5E90">
            <w:r>
              <w:br/>
              <w:t>Progression-free survival</w:t>
            </w:r>
          </w:p>
        </w:tc>
      </w:tr>
      <w:tr w:rsidR="00305BCD" w14:paraId="4B7902DA" w14:textId="77777777" w:rsidTr="009C0297">
        <w:tc>
          <w:tcPr>
            <w:tcW w:w="2673" w:type="dxa"/>
          </w:tcPr>
          <w:p w14:paraId="659F083B" w14:textId="77777777" w:rsidR="00305BCD" w:rsidRPr="00712C27" w:rsidRDefault="00712C27" w:rsidP="00BD5E90">
            <w:pPr>
              <w:rPr>
                <w:rStyle w:val="Emphasis"/>
                <w:rFonts w:cstheme="minorHAnsi"/>
                <w:b/>
                <w:i w:val="0"/>
                <w:color w:val="000000"/>
              </w:rPr>
            </w:pPr>
            <w:r w:rsidRPr="00712C27">
              <w:rPr>
                <w:rStyle w:val="Emphasis"/>
                <w:rFonts w:cstheme="minorHAnsi"/>
                <w:b/>
                <w:i w:val="0"/>
                <w:color w:val="000000"/>
              </w:rPr>
              <w:lastRenderedPageBreak/>
              <w:t>Ebola Zaire Vaccine (rVSV∆G-ZEBOV-GP, live)</w:t>
            </w:r>
          </w:p>
          <w:p w14:paraId="210B9FCB" w14:textId="77777777" w:rsidR="00305BCD" w:rsidRPr="00712C27" w:rsidRDefault="00305BCD" w:rsidP="00BD5E90">
            <w:pPr>
              <w:rPr>
                <w:rStyle w:val="Emphasis"/>
                <w:rFonts w:cstheme="minorHAnsi"/>
                <w:i w:val="0"/>
                <w:color w:val="000000"/>
              </w:rPr>
            </w:pPr>
          </w:p>
          <w:p w14:paraId="55FDF8D9" w14:textId="77777777" w:rsidR="00305BCD" w:rsidRDefault="00712C27" w:rsidP="00BD5E90">
            <w:pPr>
              <w:rPr>
                <w:rStyle w:val="Emphasis"/>
                <w:rFonts w:cstheme="minorHAnsi"/>
                <w:i w:val="0"/>
                <w:color w:val="000000"/>
              </w:rPr>
            </w:pPr>
            <w:r>
              <w:rPr>
                <w:rStyle w:val="Emphasis"/>
                <w:rFonts w:cstheme="minorHAnsi"/>
                <w:i w:val="0"/>
                <w:color w:val="000000"/>
              </w:rPr>
              <w:t>Ervebo</w:t>
            </w:r>
          </w:p>
          <w:p w14:paraId="0B408F53" w14:textId="77777777" w:rsidR="00712C27" w:rsidRDefault="00712C27" w:rsidP="00BD5E90">
            <w:pPr>
              <w:rPr>
                <w:rStyle w:val="Emphasis"/>
                <w:rFonts w:cstheme="minorHAnsi"/>
                <w:i w:val="0"/>
                <w:color w:val="000000"/>
              </w:rPr>
            </w:pPr>
          </w:p>
          <w:p w14:paraId="46C72B9C" w14:textId="77777777" w:rsidR="00712C27" w:rsidRDefault="00712C27" w:rsidP="00BD5E90">
            <w:pPr>
              <w:rPr>
                <w:rStyle w:val="Emphasis"/>
                <w:rFonts w:cstheme="minorHAnsi"/>
                <w:i w:val="0"/>
                <w:color w:val="000000"/>
              </w:rPr>
            </w:pPr>
            <w:r>
              <w:rPr>
                <w:rStyle w:val="Emphasis"/>
                <w:rFonts w:cstheme="minorHAnsi"/>
                <w:i w:val="0"/>
                <w:color w:val="000000"/>
              </w:rPr>
              <w:t>CMA 11/11/19</w:t>
            </w:r>
          </w:p>
          <w:p w14:paraId="61E0CBF2" w14:textId="77777777" w:rsidR="00712C27" w:rsidRDefault="00712C27" w:rsidP="00BD5E90">
            <w:pPr>
              <w:rPr>
                <w:rStyle w:val="Emphasis"/>
                <w:rFonts w:cstheme="minorHAnsi"/>
                <w:i w:val="0"/>
                <w:color w:val="000000"/>
              </w:rPr>
            </w:pPr>
          </w:p>
          <w:p w14:paraId="07FCFFAC" w14:textId="77777777" w:rsidR="00712C27" w:rsidRDefault="00712C27" w:rsidP="00BD5E90">
            <w:pPr>
              <w:rPr>
                <w:rStyle w:val="Emphasis"/>
                <w:rFonts w:cstheme="minorHAnsi"/>
                <w:i w:val="0"/>
                <w:color w:val="000000"/>
              </w:rPr>
            </w:pPr>
            <w:r>
              <w:rPr>
                <w:rStyle w:val="Emphasis"/>
                <w:rFonts w:cstheme="minorHAnsi"/>
                <w:i w:val="0"/>
                <w:color w:val="000000"/>
              </w:rPr>
              <w:t>Full MA 14/11/21</w:t>
            </w:r>
          </w:p>
          <w:p w14:paraId="0FE92D86" w14:textId="77777777" w:rsidR="00712C27" w:rsidRDefault="00712C27" w:rsidP="00BD5E90">
            <w:pPr>
              <w:rPr>
                <w:rStyle w:val="Emphasis"/>
                <w:rFonts w:cstheme="minorHAnsi"/>
                <w:i w:val="0"/>
                <w:color w:val="000000"/>
              </w:rPr>
            </w:pPr>
          </w:p>
          <w:p w14:paraId="7F841E74" w14:textId="77777777" w:rsidR="00712C27" w:rsidRPr="005C69F0" w:rsidRDefault="00712C27" w:rsidP="00BD5E90">
            <w:pPr>
              <w:rPr>
                <w:rStyle w:val="Emphasis"/>
                <w:rFonts w:cstheme="minorHAnsi"/>
                <w:i w:val="0"/>
                <w:color w:val="000000"/>
              </w:rPr>
            </w:pPr>
            <w:r>
              <w:t>EMA/606159/2019</w:t>
            </w:r>
          </w:p>
        </w:tc>
        <w:tc>
          <w:tcPr>
            <w:tcW w:w="3093" w:type="dxa"/>
          </w:tcPr>
          <w:p w14:paraId="0A9151DD" w14:textId="77777777" w:rsidR="00305BCD" w:rsidRDefault="00712C27" w:rsidP="00BD5E90">
            <w:r>
              <w:t>Ervebo is indicated for active immunization of individuals 18 years of age or older to protect against Ebola Virus Disease (EVD) caused by Zaire Ebola virus (see sections 4.2, 4.4 and 5.1). The use of Ervebo should be in accordance with official recommendations.</w:t>
            </w:r>
          </w:p>
        </w:tc>
        <w:tc>
          <w:tcPr>
            <w:tcW w:w="3926" w:type="dxa"/>
          </w:tcPr>
          <w:p w14:paraId="03FE395F" w14:textId="77777777" w:rsidR="00305BCD" w:rsidRDefault="00712C27" w:rsidP="00BD5E90">
            <w:r>
              <w:t xml:space="preserve">V920-010 </w:t>
            </w:r>
            <w:r w:rsidR="00A163AD">
              <w:t xml:space="preserve">Phase III </w:t>
            </w:r>
            <w:r>
              <w:t>Pivotal: The primary efficacy endpoint was confirmed EVD, defined as: • any probable or suspected case from whom a blood sample taken was laboratory confirmed as positive for EVD; or • any deceased individual with probable EVD, from whom a post-mortem sample taken within 48 hours after death was laboratory confirmed as positive for EVD</w:t>
            </w:r>
          </w:p>
        </w:tc>
        <w:tc>
          <w:tcPr>
            <w:tcW w:w="1932" w:type="dxa"/>
          </w:tcPr>
          <w:p w14:paraId="4AEB99D3" w14:textId="77777777" w:rsidR="00712C27" w:rsidRDefault="00712C27" w:rsidP="00BD5E90">
            <w:r>
              <w:t>No</w:t>
            </w:r>
          </w:p>
        </w:tc>
      </w:tr>
      <w:tr w:rsidR="00305BCD" w14:paraId="2CD3B5B9" w14:textId="77777777" w:rsidTr="009C0297">
        <w:tc>
          <w:tcPr>
            <w:tcW w:w="2673" w:type="dxa"/>
          </w:tcPr>
          <w:p w14:paraId="7C6F3ECE" w14:textId="77777777" w:rsidR="00305BCD" w:rsidRDefault="00A163AD" w:rsidP="00BD5E90">
            <w:pPr>
              <w:rPr>
                <w:rStyle w:val="Emphasis"/>
                <w:rFonts w:cstheme="minorHAnsi"/>
                <w:b/>
                <w:i w:val="0"/>
                <w:color w:val="000000"/>
              </w:rPr>
            </w:pPr>
            <w:r>
              <w:rPr>
                <w:rStyle w:val="Emphasis"/>
                <w:rFonts w:cstheme="minorHAnsi"/>
                <w:b/>
                <w:i w:val="0"/>
                <w:color w:val="000000"/>
              </w:rPr>
              <w:t>pazopanib</w:t>
            </w:r>
          </w:p>
          <w:p w14:paraId="52C96E54" w14:textId="77777777" w:rsidR="00A163AD" w:rsidRDefault="00A163AD" w:rsidP="00BD5E90">
            <w:pPr>
              <w:rPr>
                <w:rStyle w:val="Emphasis"/>
                <w:rFonts w:cstheme="minorHAnsi"/>
                <w:b/>
                <w:i w:val="0"/>
                <w:color w:val="000000"/>
              </w:rPr>
            </w:pPr>
          </w:p>
          <w:p w14:paraId="149A7259" w14:textId="77777777" w:rsidR="00A163AD" w:rsidRDefault="00A163AD" w:rsidP="00BD5E90">
            <w:pPr>
              <w:rPr>
                <w:rStyle w:val="Emphasis"/>
                <w:rFonts w:cstheme="minorHAnsi"/>
                <w:i w:val="0"/>
                <w:color w:val="000000"/>
              </w:rPr>
            </w:pPr>
            <w:r>
              <w:rPr>
                <w:rStyle w:val="Emphasis"/>
                <w:rFonts w:cstheme="minorHAnsi"/>
                <w:i w:val="0"/>
                <w:color w:val="000000"/>
              </w:rPr>
              <w:t>Votrient</w:t>
            </w:r>
          </w:p>
          <w:p w14:paraId="04216E0B" w14:textId="77777777" w:rsidR="00A163AD" w:rsidRDefault="00A163AD" w:rsidP="00BD5E90">
            <w:pPr>
              <w:rPr>
                <w:rStyle w:val="Emphasis"/>
                <w:rFonts w:cstheme="minorHAnsi"/>
                <w:i w:val="0"/>
                <w:color w:val="000000"/>
              </w:rPr>
            </w:pPr>
          </w:p>
          <w:p w14:paraId="118747D5" w14:textId="77777777" w:rsidR="00A163AD" w:rsidRDefault="00A163AD" w:rsidP="00BD5E90">
            <w:pPr>
              <w:rPr>
                <w:rStyle w:val="Emphasis"/>
                <w:rFonts w:cstheme="minorHAnsi"/>
                <w:i w:val="0"/>
                <w:color w:val="000000"/>
              </w:rPr>
            </w:pPr>
            <w:r>
              <w:rPr>
                <w:rStyle w:val="Emphasis"/>
                <w:rFonts w:cstheme="minorHAnsi"/>
                <w:i w:val="0"/>
                <w:color w:val="000000"/>
              </w:rPr>
              <w:t>CMA 14/06/10</w:t>
            </w:r>
          </w:p>
          <w:p w14:paraId="0DDB73D3" w14:textId="77777777" w:rsidR="00A163AD" w:rsidRDefault="00A163AD" w:rsidP="00BD5E90">
            <w:pPr>
              <w:rPr>
                <w:rStyle w:val="Emphasis"/>
                <w:rFonts w:cstheme="minorHAnsi"/>
                <w:i w:val="0"/>
                <w:color w:val="000000"/>
              </w:rPr>
            </w:pPr>
          </w:p>
          <w:p w14:paraId="36F71708" w14:textId="77777777" w:rsidR="00A163AD" w:rsidRDefault="00A163AD" w:rsidP="00BD5E90">
            <w:pPr>
              <w:rPr>
                <w:rStyle w:val="Emphasis"/>
                <w:rFonts w:cstheme="minorHAnsi"/>
                <w:i w:val="0"/>
                <w:color w:val="000000"/>
              </w:rPr>
            </w:pPr>
            <w:r>
              <w:rPr>
                <w:rStyle w:val="Emphasis"/>
                <w:rFonts w:cstheme="minorHAnsi"/>
                <w:i w:val="0"/>
                <w:color w:val="000000"/>
              </w:rPr>
              <w:t>Full MA 01/07/13</w:t>
            </w:r>
          </w:p>
          <w:p w14:paraId="403B5C48" w14:textId="77777777" w:rsidR="00A163AD" w:rsidRDefault="00A163AD" w:rsidP="00BD5E90">
            <w:pPr>
              <w:rPr>
                <w:rStyle w:val="Emphasis"/>
                <w:rFonts w:cstheme="minorHAnsi"/>
                <w:i w:val="0"/>
                <w:color w:val="000000"/>
              </w:rPr>
            </w:pPr>
          </w:p>
          <w:p w14:paraId="40500FD9" w14:textId="77777777" w:rsidR="00A163AD" w:rsidRPr="00A163AD" w:rsidRDefault="00A163AD" w:rsidP="00BD5E90">
            <w:pPr>
              <w:rPr>
                <w:rStyle w:val="Emphasis"/>
                <w:rFonts w:cstheme="minorHAnsi"/>
                <w:i w:val="0"/>
                <w:color w:val="000000"/>
              </w:rPr>
            </w:pPr>
            <w:r>
              <w:t>EMA/CHMP/248579/2010</w:t>
            </w:r>
          </w:p>
        </w:tc>
        <w:tc>
          <w:tcPr>
            <w:tcW w:w="3093" w:type="dxa"/>
          </w:tcPr>
          <w:p w14:paraId="5A7CBB91" w14:textId="77777777" w:rsidR="00305BCD" w:rsidRDefault="00A163AD" w:rsidP="00BD5E90">
            <w:r>
              <w:t>Votrient is indicated for the first line treatment of advanced Renal Cell Carcinoma (RCC) and for patients who have received prior cytokine therapy for advanced disease</w:t>
            </w:r>
          </w:p>
        </w:tc>
        <w:tc>
          <w:tcPr>
            <w:tcW w:w="3926" w:type="dxa"/>
          </w:tcPr>
          <w:p w14:paraId="7E348B4E" w14:textId="77777777" w:rsidR="00305BCD" w:rsidRDefault="00A163AD" w:rsidP="00BD5E90">
            <w:r>
              <w:t>VEG105192 Phase III Pivotal: The primary efficacy endpoint was PFS, defined as the interval between the date of randomization and the earliest date of disease progression or death due to any cause. The RECIST criterion for the assessment of progression of solid tumours was used.</w:t>
            </w:r>
          </w:p>
          <w:p w14:paraId="40D1232D" w14:textId="77777777" w:rsidR="00A163AD" w:rsidRDefault="00A163AD" w:rsidP="00BD5E90"/>
          <w:p w14:paraId="323F484B" w14:textId="77777777" w:rsidR="00A163AD" w:rsidRDefault="00A163AD" w:rsidP="00BD5E90">
            <w:r>
              <w:t xml:space="preserve">VEG102616 Phase II Supportive: </w:t>
            </w:r>
            <w:r w:rsidR="00EB149D">
              <w:t>EPAR emphasised of PFS comparison (secondary endpoint) whilst primary efficacy endpoint of this study was overall response</w:t>
            </w:r>
          </w:p>
          <w:p w14:paraId="40C54202" w14:textId="77777777" w:rsidR="00A163AD" w:rsidRDefault="00A163AD" w:rsidP="00BD5E90"/>
          <w:p w14:paraId="6A821B9E" w14:textId="77777777" w:rsidR="00A163AD" w:rsidRDefault="00A163AD" w:rsidP="00EB149D">
            <w:r>
              <w:t>VEG107769 Supportive:</w:t>
            </w:r>
            <w:r w:rsidR="00EB149D">
              <w:t xml:space="preserve"> Same as above (PFS emphasis) except primary were different</w:t>
            </w:r>
          </w:p>
        </w:tc>
        <w:tc>
          <w:tcPr>
            <w:tcW w:w="1932" w:type="dxa"/>
          </w:tcPr>
          <w:p w14:paraId="1C6A74E3" w14:textId="77777777" w:rsidR="00305BCD" w:rsidRDefault="00A163AD" w:rsidP="00BD5E90">
            <w:r>
              <w:t>Yes:</w:t>
            </w:r>
          </w:p>
          <w:p w14:paraId="3B12DEF0" w14:textId="77777777" w:rsidR="00A163AD" w:rsidRDefault="00A163AD" w:rsidP="00BD5E90"/>
          <w:p w14:paraId="5DFF790C" w14:textId="77777777" w:rsidR="00A163AD" w:rsidRDefault="00A163AD" w:rsidP="00BD5E90">
            <w:r>
              <w:t>Progression-free survival (pivotal)</w:t>
            </w:r>
          </w:p>
        </w:tc>
      </w:tr>
      <w:tr w:rsidR="00305BCD" w14:paraId="3C04264C" w14:textId="77777777" w:rsidTr="009C0297">
        <w:tc>
          <w:tcPr>
            <w:tcW w:w="2673" w:type="dxa"/>
          </w:tcPr>
          <w:p w14:paraId="50EF576B" w14:textId="77777777" w:rsidR="00305BCD" w:rsidRDefault="00EB149D" w:rsidP="00BD5E90">
            <w:pPr>
              <w:rPr>
                <w:rStyle w:val="Emphasis"/>
                <w:rFonts w:cstheme="minorHAnsi"/>
                <w:b/>
                <w:i w:val="0"/>
                <w:color w:val="000000"/>
              </w:rPr>
            </w:pPr>
            <w:r>
              <w:rPr>
                <w:rStyle w:val="Emphasis"/>
                <w:rFonts w:cstheme="minorHAnsi"/>
                <w:b/>
                <w:i w:val="0"/>
                <w:color w:val="000000"/>
              </w:rPr>
              <w:t>fampridine</w:t>
            </w:r>
          </w:p>
          <w:p w14:paraId="08F97C37" w14:textId="77777777" w:rsidR="00EB149D" w:rsidRDefault="00EB149D" w:rsidP="00BD5E90">
            <w:pPr>
              <w:rPr>
                <w:rStyle w:val="Emphasis"/>
                <w:rFonts w:cstheme="minorHAnsi"/>
                <w:b/>
                <w:i w:val="0"/>
                <w:color w:val="000000"/>
              </w:rPr>
            </w:pPr>
          </w:p>
          <w:p w14:paraId="661F0360" w14:textId="77777777" w:rsidR="00EB149D" w:rsidRDefault="00EB149D" w:rsidP="00BD5E90">
            <w:pPr>
              <w:rPr>
                <w:rStyle w:val="Emphasis"/>
                <w:rFonts w:cstheme="minorHAnsi"/>
                <w:i w:val="0"/>
                <w:color w:val="000000"/>
              </w:rPr>
            </w:pPr>
            <w:r>
              <w:rPr>
                <w:rStyle w:val="Emphasis"/>
                <w:rFonts w:cstheme="minorHAnsi"/>
                <w:i w:val="0"/>
                <w:color w:val="000000"/>
              </w:rPr>
              <w:t>Fampyra</w:t>
            </w:r>
          </w:p>
          <w:p w14:paraId="4ED158F5" w14:textId="77777777" w:rsidR="00EB149D" w:rsidRDefault="00EB149D" w:rsidP="00BD5E90">
            <w:pPr>
              <w:rPr>
                <w:rStyle w:val="Emphasis"/>
                <w:rFonts w:cstheme="minorHAnsi"/>
                <w:i w:val="0"/>
                <w:color w:val="000000"/>
              </w:rPr>
            </w:pPr>
          </w:p>
          <w:p w14:paraId="504E9C19" w14:textId="77777777" w:rsidR="00EB149D" w:rsidRDefault="00EB149D" w:rsidP="00BD5E90">
            <w:pPr>
              <w:rPr>
                <w:rStyle w:val="Emphasis"/>
                <w:rFonts w:cstheme="minorHAnsi"/>
                <w:i w:val="0"/>
                <w:color w:val="000000"/>
              </w:rPr>
            </w:pPr>
            <w:r>
              <w:rPr>
                <w:rStyle w:val="Emphasis"/>
                <w:rFonts w:cstheme="minorHAnsi"/>
                <w:i w:val="0"/>
                <w:color w:val="000000"/>
              </w:rPr>
              <w:t>CMA 20/07/11</w:t>
            </w:r>
          </w:p>
          <w:p w14:paraId="72C756E7" w14:textId="77777777" w:rsidR="00EB149D" w:rsidRDefault="00EB149D" w:rsidP="00BD5E90">
            <w:pPr>
              <w:rPr>
                <w:rStyle w:val="Emphasis"/>
                <w:rFonts w:cstheme="minorHAnsi"/>
                <w:i w:val="0"/>
                <w:color w:val="000000"/>
              </w:rPr>
            </w:pPr>
          </w:p>
          <w:p w14:paraId="645DC45E" w14:textId="77777777" w:rsidR="00EB149D" w:rsidRDefault="00EB149D" w:rsidP="00BD5E90">
            <w:pPr>
              <w:rPr>
                <w:rStyle w:val="Emphasis"/>
                <w:rFonts w:cstheme="minorHAnsi"/>
                <w:i w:val="0"/>
                <w:color w:val="000000"/>
              </w:rPr>
            </w:pPr>
            <w:r>
              <w:rPr>
                <w:rStyle w:val="Emphasis"/>
                <w:rFonts w:cstheme="minorHAnsi"/>
                <w:i w:val="0"/>
                <w:color w:val="000000"/>
              </w:rPr>
              <w:lastRenderedPageBreak/>
              <w:t>Full MA 22/05/17</w:t>
            </w:r>
          </w:p>
          <w:p w14:paraId="7C432C14" w14:textId="77777777" w:rsidR="00EB149D" w:rsidRDefault="00EB149D" w:rsidP="00BD5E90">
            <w:pPr>
              <w:rPr>
                <w:rStyle w:val="Emphasis"/>
                <w:rFonts w:cstheme="minorHAnsi"/>
                <w:i w:val="0"/>
                <w:color w:val="000000"/>
              </w:rPr>
            </w:pPr>
          </w:p>
          <w:p w14:paraId="37FEE49E" w14:textId="77777777" w:rsidR="00EB149D" w:rsidRPr="00EB149D" w:rsidRDefault="00EB149D" w:rsidP="00BD5E90">
            <w:pPr>
              <w:rPr>
                <w:rStyle w:val="Emphasis"/>
                <w:rFonts w:cstheme="minorHAnsi"/>
                <w:i w:val="0"/>
                <w:color w:val="000000"/>
              </w:rPr>
            </w:pPr>
            <w:r>
              <w:t>EMA/555661/2011</w:t>
            </w:r>
          </w:p>
        </w:tc>
        <w:tc>
          <w:tcPr>
            <w:tcW w:w="3093" w:type="dxa"/>
          </w:tcPr>
          <w:p w14:paraId="489543DC" w14:textId="77777777" w:rsidR="00305BCD" w:rsidRDefault="00EB149D" w:rsidP="00BD5E90">
            <w:r>
              <w:lastRenderedPageBreak/>
              <w:t>Fampyra is indicated for the improvement of walking in adult patients with multiple sclerosis with walking disability (EDSS 4-7)</w:t>
            </w:r>
          </w:p>
        </w:tc>
        <w:tc>
          <w:tcPr>
            <w:tcW w:w="3926" w:type="dxa"/>
          </w:tcPr>
          <w:p w14:paraId="21592D2F" w14:textId="77777777" w:rsidR="00EB149D" w:rsidRDefault="00EB149D" w:rsidP="00EB149D">
            <w:r>
              <w:t xml:space="preserve">MS-F203, MS-F204 Phase III Pivotal:  Primary efficacy endpoint was the proportion of ‘consistent’ responders defined as patients with higher walking speed for at least three out of four visits during the double-blind period as </w:t>
            </w:r>
            <w:r>
              <w:lastRenderedPageBreak/>
              <w:t>compared to the maximum value among the non-treatment visits</w:t>
            </w:r>
          </w:p>
          <w:p w14:paraId="75272AE1" w14:textId="77777777" w:rsidR="00EB149D" w:rsidRDefault="00EB149D" w:rsidP="00EB149D"/>
          <w:p w14:paraId="7AA4EC86" w14:textId="77777777" w:rsidR="00EB149D" w:rsidRDefault="00EB149D" w:rsidP="00EB149D">
            <w:r>
              <w:t>MS-F20-F201 Supportive Study</w:t>
            </w:r>
          </w:p>
        </w:tc>
        <w:tc>
          <w:tcPr>
            <w:tcW w:w="1932" w:type="dxa"/>
          </w:tcPr>
          <w:p w14:paraId="2412DB60" w14:textId="77777777" w:rsidR="00305BCD" w:rsidRDefault="00EB149D" w:rsidP="00BD5E90">
            <w:r>
              <w:lastRenderedPageBreak/>
              <w:t>Yes:</w:t>
            </w:r>
          </w:p>
          <w:p w14:paraId="0276ADBF" w14:textId="77777777" w:rsidR="00EB149D" w:rsidRDefault="00EB149D" w:rsidP="00BD5E90"/>
          <w:p w14:paraId="1DF430E3" w14:textId="77777777" w:rsidR="00EB149D" w:rsidRDefault="00EB149D" w:rsidP="00BD5E90">
            <w:r>
              <w:t>Responder rate in walking speed (pivotal)</w:t>
            </w:r>
          </w:p>
        </w:tc>
      </w:tr>
      <w:tr w:rsidR="00305BCD" w14:paraId="18C2C4E6" w14:textId="77777777" w:rsidTr="009C0297">
        <w:tc>
          <w:tcPr>
            <w:tcW w:w="2673" w:type="dxa"/>
          </w:tcPr>
          <w:p w14:paraId="063DF413" w14:textId="77777777" w:rsidR="00305BCD" w:rsidRDefault="00EB149D" w:rsidP="00BD5E90">
            <w:pPr>
              <w:rPr>
                <w:rStyle w:val="Emphasis"/>
                <w:rFonts w:cstheme="minorHAnsi"/>
                <w:b/>
                <w:i w:val="0"/>
                <w:color w:val="000000"/>
              </w:rPr>
            </w:pPr>
            <w:r>
              <w:rPr>
                <w:rStyle w:val="Emphasis"/>
                <w:rFonts w:cstheme="minorHAnsi"/>
                <w:b/>
                <w:i w:val="0"/>
                <w:color w:val="000000"/>
              </w:rPr>
              <w:t>pixantrone dimaleate</w:t>
            </w:r>
          </w:p>
          <w:p w14:paraId="11C934CD" w14:textId="77777777" w:rsidR="00EB149D" w:rsidRDefault="00EB149D" w:rsidP="00BD5E90">
            <w:pPr>
              <w:rPr>
                <w:rStyle w:val="Emphasis"/>
                <w:rFonts w:cstheme="minorHAnsi"/>
                <w:b/>
                <w:i w:val="0"/>
                <w:color w:val="000000"/>
              </w:rPr>
            </w:pPr>
          </w:p>
          <w:p w14:paraId="6EFB6347" w14:textId="77777777" w:rsidR="00EB149D" w:rsidRDefault="00EB149D" w:rsidP="00BD5E90">
            <w:pPr>
              <w:rPr>
                <w:rStyle w:val="Emphasis"/>
                <w:rFonts w:cstheme="minorHAnsi"/>
                <w:i w:val="0"/>
                <w:color w:val="000000"/>
              </w:rPr>
            </w:pPr>
            <w:r>
              <w:rPr>
                <w:rStyle w:val="Emphasis"/>
                <w:rFonts w:cstheme="minorHAnsi"/>
                <w:i w:val="0"/>
                <w:color w:val="000000"/>
              </w:rPr>
              <w:t>Pixuvri</w:t>
            </w:r>
          </w:p>
          <w:p w14:paraId="3D1C8D95" w14:textId="77777777" w:rsidR="00EB149D" w:rsidRDefault="00EB149D" w:rsidP="00BD5E90">
            <w:pPr>
              <w:rPr>
                <w:rStyle w:val="Emphasis"/>
                <w:rFonts w:cstheme="minorHAnsi"/>
                <w:i w:val="0"/>
                <w:color w:val="000000"/>
              </w:rPr>
            </w:pPr>
          </w:p>
          <w:p w14:paraId="0B707176" w14:textId="77777777" w:rsidR="00EB149D" w:rsidRDefault="00EB149D" w:rsidP="00BD5E90">
            <w:pPr>
              <w:rPr>
                <w:rStyle w:val="Emphasis"/>
                <w:rFonts w:cstheme="minorHAnsi"/>
                <w:i w:val="0"/>
                <w:color w:val="000000"/>
              </w:rPr>
            </w:pPr>
            <w:r>
              <w:rPr>
                <w:rStyle w:val="Emphasis"/>
                <w:rFonts w:cstheme="minorHAnsi"/>
                <w:i w:val="0"/>
                <w:color w:val="000000"/>
              </w:rPr>
              <w:t>CMA 10/05/12</w:t>
            </w:r>
          </w:p>
          <w:p w14:paraId="73BD77A8" w14:textId="77777777" w:rsidR="00EB149D" w:rsidRDefault="00EB149D" w:rsidP="00BD5E90">
            <w:pPr>
              <w:rPr>
                <w:rStyle w:val="Emphasis"/>
                <w:rFonts w:cstheme="minorHAnsi"/>
                <w:i w:val="0"/>
                <w:color w:val="000000"/>
              </w:rPr>
            </w:pPr>
          </w:p>
          <w:p w14:paraId="46A46649" w14:textId="77777777" w:rsidR="00EB149D" w:rsidRPr="00EB149D" w:rsidRDefault="00EB149D" w:rsidP="00BD5E90">
            <w:pPr>
              <w:rPr>
                <w:rStyle w:val="Emphasis"/>
                <w:rFonts w:cstheme="minorHAnsi"/>
                <w:i w:val="0"/>
                <w:color w:val="000000"/>
              </w:rPr>
            </w:pPr>
            <w:r>
              <w:t>EMA/309145/2012</w:t>
            </w:r>
          </w:p>
        </w:tc>
        <w:tc>
          <w:tcPr>
            <w:tcW w:w="3093" w:type="dxa"/>
          </w:tcPr>
          <w:p w14:paraId="2BF4DAE8" w14:textId="77777777" w:rsidR="00305BCD" w:rsidRDefault="00EB149D" w:rsidP="00BD5E90">
            <w:r>
              <w:t>Pixuvri is indicated as monotherapy for the treatment of adult patients with multiply relapsed or refractory aggressive Non Hodgkin B cell Lymphomas (NHL). The benefit of pixantrone treatment has not been established in patients when used as fifth line or greater chemotherapy in patients who are refractory to last therapy.</w:t>
            </w:r>
          </w:p>
        </w:tc>
        <w:tc>
          <w:tcPr>
            <w:tcW w:w="3926" w:type="dxa"/>
          </w:tcPr>
          <w:p w14:paraId="6B7ECEB2" w14:textId="77777777" w:rsidR="00305BCD" w:rsidRDefault="00EB149D" w:rsidP="00BD5E90">
            <w:r>
              <w:t>PIX301 Phase III Pivotal: CR or CRu rate (ITT) assessed by the Independent Assessment Panel (IAP) based on the Report of the International Workshop to Standardize Response Criteria. These criteria are also known as the International Working Group (IWG) criteria (Cheson 1999).</w:t>
            </w:r>
          </w:p>
          <w:p w14:paraId="7ACC6963" w14:textId="77777777" w:rsidR="00EB149D" w:rsidRDefault="00EB149D" w:rsidP="00BD5E90"/>
          <w:p w14:paraId="0EF3FC5F" w14:textId="77777777" w:rsidR="00EB149D" w:rsidRDefault="00EB149D" w:rsidP="00BD5E90">
            <w:r>
              <w:t>AZA-II-01 Phase II Supportive: Primary: ORR (CR and PR) in ITT population according to investigator assessment</w:t>
            </w:r>
          </w:p>
        </w:tc>
        <w:tc>
          <w:tcPr>
            <w:tcW w:w="1932" w:type="dxa"/>
          </w:tcPr>
          <w:p w14:paraId="4125704D" w14:textId="77777777" w:rsidR="00305BCD" w:rsidRDefault="00EB149D" w:rsidP="00BD5E90">
            <w:r>
              <w:t>Yes:</w:t>
            </w:r>
          </w:p>
          <w:p w14:paraId="5451FEC2" w14:textId="77777777" w:rsidR="00EB149D" w:rsidRDefault="00EB149D" w:rsidP="00BD5E90"/>
          <w:p w14:paraId="68A72893" w14:textId="77777777" w:rsidR="00EB149D" w:rsidRDefault="00EB149D" w:rsidP="00EB149D">
            <w:r>
              <w:t>Confirmed and unconfirmed complete response (pivotal)</w:t>
            </w:r>
          </w:p>
          <w:p w14:paraId="6FCC6FE8" w14:textId="77777777" w:rsidR="00EB149D" w:rsidRDefault="00EB149D" w:rsidP="00EB149D"/>
          <w:p w14:paraId="10EE15B0" w14:textId="77777777" w:rsidR="00EB149D" w:rsidRDefault="00EB149D" w:rsidP="00EB149D">
            <w:r>
              <w:t>Overall response rate</w:t>
            </w:r>
          </w:p>
        </w:tc>
      </w:tr>
      <w:tr w:rsidR="00305BCD" w14:paraId="481375C2" w14:textId="77777777" w:rsidTr="009C0297">
        <w:tc>
          <w:tcPr>
            <w:tcW w:w="2673" w:type="dxa"/>
          </w:tcPr>
          <w:p w14:paraId="03087BBB" w14:textId="77777777" w:rsidR="00305BCD" w:rsidRDefault="001D1CCB" w:rsidP="00BD5E90">
            <w:pPr>
              <w:rPr>
                <w:rStyle w:val="Emphasis"/>
                <w:rFonts w:cstheme="minorHAnsi"/>
                <w:b/>
                <w:i w:val="0"/>
                <w:color w:val="000000"/>
              </w:rPr>
            </w:pPr>
            <w:r>
              <w:rPr>
                <w:rStyle w:val="Emphasis"/>
                <w:rFonts w:cstheme="minorHAnsi"/>
                <w:b/>
                <w:i w:val="0"/>
                <w:color w:val="000000"/>
              </w:rPr>
              <w:t>stiripentol</w:t>
            </w:r>
          </w:p>
          <w:p w14:paraId="777F760B" w14:textId="77777777" w:rsidR="001D1CCB" w:rsidRDefault="001D1CCB" w:rsidP="00BD5E90">
            <w:pPr>
              <w:rPr>
                <w:rStyle w:val="Emphasis"/>
                <w:rFonts w:cstheme="minorHAnsi"/>
                <w:b/>
                <w:i w:val="0"/>
                <w:color w:val="000000"/>
              </w:rPr>
            </w:pPr>
          </w:p>
          <w:p w14:paraId="6FE07E47" w14:textId="77777777" w:rsidR="001D1CCB" w:rsidRDefault="001D1CCB" w:rsidP="00BD5E90">
            <w:pPr>
              <w:rPr>
                <w:rStyle w:val="Emphasis"/>
                <w:rFonts w:cstheme="minorHAnsi"/>
                <w:i w:val="0"/>
                <w:color w:val="000000"/>
              </w:rPr>
            </w:pPr>
            <w:r>
              <w:rPr>
                <w:rStyle w:val="Emphasis"/>
                <w:rFonts w:cstheme="minorHAnsi"/>
                <w:i w:val="0"/>
                <w:color w:val="000000"/>
              </w:rPr>
              <w:t>Diacomit</w:t>
            </w:r>
          </w:p>
          <w:p w14:paraId="12596B7F" w14:textId="77777777" w:rsidR="001D1CCB" w:rsidRDefault="001D1CCB" w:rsidP="00BD5E90">
            <w:pPr>
              <w:rPr>
                <w:rStyle w:val="Emphasis"/>
                <w:rFonts w:cstheme="minorHAnsi"/>
                <w:i w:val="0"/>
                <w:color w:val="000000"/>
              </w:rPr>
            </w:pPr>
          </w:p>
          <w:p w14:paraId="0B7DAACD" w14:textId="77777777" w:rsidR="001D1CCB" w:rsidRDefault="001D1CCB" w:rsidP="00BD5E90">
            <w:pPr>
              <w:rPr>
                <w:rStyle w:val="Emphasis"/>
                <w:rFonts w:cstheme="minorHAnsi"/>
                <w:i w:val="0"/>
                <w:color w:val="000000"/>
              </w:rPr>
            </w:pPr>
            <w:r>
              <w:rPr>
                <w:rStyle w:val="Emphasis"/>
                <w:rFonts w:cstheme="minorHAnsi"/>
                <w:i w:val="0"/>
                <w:color w:val="000000"/>
              </w:rPr>
              <w:t>CMA 04/01/07</w:t>
            </w:r>
          </w:p>
          <w:p w14:paraId="6F0E2EC5" w14:textId="77777777" w:rsidR="001D1CCB" w:rsidRDefault="001D1CCB" w:rsidP="00BD5E90">
            <w:pPr>
              <w:rPr>
                <w:rStyle w:val="Emphasis"/>
                <w:rFonts w:cstheme="minorHAnsi"/>
                <w:i w:val="0"/>
                <w:color w:val="000000"/>
              </w:rPr>
            </w:pPr>
          </w:p>
          <w:p w14:paraId="0E253388" w14:textId="77777777" w:rsidR="001D1CCB" w:rsidRDefault="001D1CCB" w:rsidP="00BD5E90">
            <w:pPr>
              <w:rPr>
                <w:rStyle w:val="Emphasis"/>
                <w:rFonts w:cstheme="minorHAnsi"/>
                <w:i w:val="0"/>
                <w:color w:val="000000"/>
              </w:rPr>
            </w:pPr>
            <w:r>
              <w:rPr>
                <w:rStyle w:val="Emphasis"/>
                <w:rFonts w:cstheme="minorHAnsi"/>
                <w:i w:val="0"/>
                <w:color w:val="000000"/>
              </w:rPr>
              <w:t>Full MA 08/01/14</w:t>
            </w:r>
          </w:p>
          <w:p w14:paraId="4436948A" w14:textId="77777777" w:rsidR="001D1CCB" w:rsidRDefault="001D1CCB" w:rsidP="00BD5E90">
            <w:pPr>
              <w:rPr>
                <w:rStyle w:val="Emphasis"/>
                <w:rFonts w:cstheme="minorHAnsi"/>
                <w:i w:val="0"/>
                <w:color w:val="000000"/>
              </w:rPr>
            </w:pPr>
          </w:p>
          <w:p w14:paraId="7CED4B72" w14:textId="77777777" w:rsidR="001D1CCB" w:rsidRPr="001D1CCB" w:rsidRDefault="001D1CCB" w:rsidP="00BD5E90">
            <w:pPr>
              <w:rPr>
                <w:rStyle w:val="Emphasis"/>
                <w:rFonts w:cstheme="minorHAnsi"/>
                <w:i w:val="0"/>
                <w:color w:val="000000"/>
              </w:rPr>
            </w:pPr>
          </w:p>
        </w:tc>
        <w:tc>
          <w:tcPr>
            <w:tcW w:w="3093" w:type="dxa"/>
          </w:tcPr>
          <w:p w14:paraId="36744209" w14:textId="77777777" w:rsidR="00305BCD" w:rsidRDefault="003E3E6B" w:rsidP="00BD5E90">
            <w:r>
              <w:t>Diacomit is indicated for use in conjunction with clobazam and valproate as adjunctive therapy of refractory generalized tonic-clonic seizures in patients with severe myoclonic epilepsy in infancy (SMEI, Dravet’s syndrome) whose seizures are not adequately controlled with clobazam and valproate.</w:t>
            </w:r>
          </w:p>
        </w:tc>
        <w:tc>
          <w:tcPr>
            <w:tcW w:w="3926" w:type="dxa"/>
          </w:tcPr>
          <w:p w14:paraId="25162338" w14:textId="77777777" w:rsidR="003E3E6B" w:rsidRDefault="003E3E6B" w:rsidP="00BD5E90">
            <w:r>
              <w:t>No Public Assessment Report, used Scientific Discussion report.</w:t>
            </w:r>
          </w:p>
          <w:p w14:paraId="5D51EDEA" w14:textId="77777777" w:rsidR="003E3E6B" w:rsidRDefault="003E3E6B" w:rsidP="00BD5E90"/>
          <w:p w14:paraId="2B210A4B" w14:textId="77777777" w:rsidR="00305BCD" w:rsidRDefault="001D1CCB" w:rsidP="00BD5E90">
            <w:r>
              <w:t>BC-299, BC-385 Pivotal: 50% Seizure reduction</w:t>
            </w:r>
          </w:p>
          <w:p w14:paraId="2D94A262" w14:textId="77777777" w:rsidR="001D1CCB" w:rsidRDefault="001D1CCB" w:rsidP="00BD5E90"/>
          <w:p w14:paraId="3A2659DA" w14:textId="77777777" w:rsidR="001D1CCB" w:rsidRDefault="001D1CCB" w:rsidP="00BD5E90">
            <w:r>
              <w:t>STEV Phase II Supportive: Change in Seizure freq</w:t>
            </w:r>
          </w:p>
          <w:p w14:paraId="6C51C846" w14:textId="77777777" w:rsidR="001D1CCB" w:rsidRDefault="001D1CCB" w:rsidP="00BD5E90"/>
          <w:p w14:paraId="187D1B98" w14:textId="77777777" w:rsidR="001D1CCB" w:rsidRDefault="001D1CCB" w:rsidP="00BD5E90">
            <w:r>
              <w:t>STILON Open Supportive (Compassionate Use)</w:t>
            </w:r>
          </w:p>
          <w:p w14:paraId="12985AEE" w14:textId="77777777" w:rsidR="001D1CCB" w:rsidRDefault="001D1CCB" w:rsidP="00BD5E90"/>
        </w:tc>
        <w:tc>
          <w:tcPr>
            <w:tcW w:w="1932" w:type="dxa"/>
          </w:tcPr>
          <w:p w14:paraId="79E52596" w14:textId="77777777" w:rsidR="00305BCD" w:rsidRDefault="001D1CCB" w:rsidP="00BD5E90">
            <w:r>
              <w:t>Yes:</w:t>
            </w:r>
          </w:p>
          <w:p w14:paraId="66DFF67B" w14:textId="77777777" w:rsidR="001D1CCB" w:rsidRDefault="001D1CCB" w:rsidP="00BD5E90"/>
          <w:p w14:paraId="38FFCACA" w14:textId="77777777" w:rsidR="001D1CCB" w:rsidRDefault="003E3E6B" w:rsidP="003E3E6B">
            <w:r>
              <w:t>Proportion with at least 50% s</w:t>
            </w:r>
            <w:r w:rsidR="001D1CCB">
              <w:t>eizure reduction (pivotal)</w:t>
            </w:r>
          </w:p>
        </w:tc>
      </w:tr>
      <w:tr w:rsidR="00305BCD" w14:paraId="0232314E" w14:textId="77777777" w:rsidTr="009C0297">
        <w:tc>
          <w:tcPr>
            <w:tcW w:w="2673" w:type="dxa"/>
          </w:tcPr>
          <w:p w14:paraId="2D996D2B" w14:textId="77777777" w:rsidR="00305BCD" w:rsidRDefault="003E3E6B" w:rsidP="00BD5E90">
            <w:pPr>
              <w:rPr>
                <w:rStyle w:val="Emphasis"/>
                <w:rFonts w:cstheme="minorHAnsi"/>
                <w:b/>
                <w:i w:val="0"/>
                <w:color w:val="000000"/>
              </w:rPr>
            </w:pPr>
            <w:r>
              <w:rPr>
                <w:rStyle w:val="Emphasis"/>
                <w:rFonts w:cstheme="minorHAnsi"/>
                <w:b/>
                <w:i w:val="0"/>
                <w:color w:val="000000"/>
              </w:rPr>
              <w:t>blinatumomab</w:t>
            </w:r>
          </w:p>
          <w:p w14:paraId="71FDCE5B" w14:textId="77777777" w:rsidR="003E3E6B" w:rsidRDefault="003E3E6B" w:rsidP="00BD5E90">
            <w:pPr>
              <w:rPr>
                <w:rStyle w:val="Emphasis"/>
                <w:rFonts w:cstheme="minorHAnsi"/>
                <w:b/>
                <w:i w:val="0"/>
                <w:color w:val="000000"/>
              </w:rPr>
            </w:pPr>
          </w:p>
          <w:p w14:paraId="30E25AB1" w14:textId="77777777" w:rsidR="003E3E6B" w:rsidRDefault="003E3E6B" w:rsidP="00BD5E90">
            <w:pPr>
              <w:rPr>
                <w:rStyle w:val="Emphasis"/>
                <w:rFonts w:cstheme="minorHAnsi"/>
                <w:i w:val="0"/>
                <w:color w:val="000000"/>
              </w:rPr>
            </w:pPr>
            <w:r>
              <w:rPr>
                <w:rStyle w:val="Emphasis"/>
                <w:rFonts w:cstheme="minorHAnsi"/>
                <w:i w:val="0"/>
                <w:color w:val="000000"/>
              </w:rPr>
              <w:t>Blincyto</w:t>
            </w:r>
          </w:p>
          <w:p w14:paraId="76BE05D9" w14:textId="77777777" w:rsidR="003E3E6B" w:rsidRDefault="003E3E6B" w:rsidP="00BD5E90">
            <w:pPr>
              <w:rPr>
                <w:rStyle w:val="Emphasis"/>
                <w:rFonts w:cstheme="minorHAnsi"/>
                <w:i w:val="0"/>
                <w:color w:val="000000"/>
              </w:rPr>
            </w:pPr>
          </w:p>
          <w:p w14:paraId="72F355F5" w14:textId="77777777" w:rsidR="003E3E6B" w:rsidRDefault="003E3E6B" w:rsidP="00BD5E90">
            <w:pPr>
              <w:rPr>
                <w:rStyle w:val="Emphasis"/>
                <w:rFonts w:cstheme="minorHAnsi"/>
                <w:i w:val="0"/>
                <w:color w:val="000000"/>
              </w:rPr>
            </w:pPr>
            <w:r>
              <w:rPr>
                <w:rStyle w:val="Emphasis"/>
                <w:rFonts w:cstheme="minorHAnsi"/>
                <w:i w:val="0"/>
                <w:color w:val="000000"/>
              </w:rPr>
              <w:t>CMA 23/11/15</w:t>
            </w:r>
          </w:p>
          <w:p w14:paraId="7C358938" w14:textId="77777777" w:rsidR="003E3E6B" w:rsidRDefault="003E3E6B" w:rsidP="00BD5E90">
            <w:pPr>
              <w:rPr>
                <w:rStyle w:val="Emphasis"/>
                <w:rFonts w:cstheme="minorHAnsi"/>
                <w:i w:val="0"/>
                <w:color w:val="000000"/>
              </w:rPr>
            </w:pPr>
          </w:p>
          <w:p w14:paraId="2CDE14DE" w14:textId="77777777" w:rsidR="003E3E6B" w:rsidRDefault="003E3E6B" w:rsidP="00BD5E90">
            <w:pPr>
              <w:rPr>
                <w:rStyle w:val="Emphasis"/>
                <w:rFonts w:cstheme="minorHAnsi"/>
                <w:i w:val="0"/>
                <w:color w:val="000000"/>
              </w:rPr>
            </w:pPr>
            <w:r>
              <w:rPr>
                <w:rStyle w:val="Emphasis"/>
                <w:rFonts w:cstheme="minorHAnsi"/>
                <w:i w:val="0"/>
                <w:color w:val="000000"/>
              </w:rPr>
              <w:t>Full MA 18/06/18</w:t>
            </w:r>
          </w:p>
          <w:p w14:paraId="5ED3554C" w14:textId="77777777" w:rsidR="003E3E6B" w:rsidRDefault="003E3E6B" w:rsidP="00BD5E90">
            <w:pPr>
              <w:rPr>
                <w:rStyle w:val="Emphasis"/>
                <w:rFonts w:cstheme="minorHAnsi"/>
                <w:i w:val="0"/>
                <w:color w:val="000000"/>
              </w:rPr>
            </w:pPr>
          </w:p>
          <w:p w14:paraId="6C7C3DD7" w14:textId="77777777" w:rsidR="003E3E6B" w:rsidRPr="003E3E6B" w:rsidRDefault="003E3E6B" w:rsidP="00BD5E90">
            <w:pPr>
              <w:rPr>
                <w:rStyle w:val="Emphasis"/>
                <w:rFonts w:cstheme="minorHAnsi"/>
                <w:i w:val="0"/>
                <w:color w:val="000000"/>
              </w:rPr>
            </w:pPr>
            <w:r>
              <w:t>EMA/CHMP/469312/2015</w:t>
            </w:r>
          </w:p>
        </w:tc>
        <w:tc>
          <w:tcPr>
            <w:tcW w:w="3093" w:type="dxa"/>
          </w:tcPr>
          <w:p w14:paraId="755D5D42" w14:textId="77777777" w:rsidR="00305BCD" w:rsidRDefault="003E3E6B" w:rsidP="00BD5E90">
            <w:r>
              <w:t>BLINCYTO in treatment of adults with Philadelphia chromosome negative relapsed or refractory B-precursor acute lymphoblastic leukaemia (ALL)</w:t>
            </w:r>
          </w:p>
        </w:tc>
        <w:tc>
          <w:tcPr>
            <w:tcW w:w="3926" w:type="dxa"/>
          </w:tcPr>
          <w:p w14:paraId="19CFAC6F" w14:textId="77777777" w:rsidR="00305BCD" w:rsidRDefault="003E3E6B" w:rsidP="00BD5E90">
            <w:r>
              <w:t>MT103-211 Phase II Pivotal: The primary efficacy endpoint was the CR/CRh* rate calculated as the number of subjects with either a CR or CRh* response within the first two treatment cycles divided by the total number of subjects in the analysis set. CR was defined as having ≤ 5% blasts in the bone marrow, no evidence of disease, and full recovery of peripheral blood counts (platelets &gt; 100,000/μL and absolute neutrophil count (ANC) &gt; 1,000/μL) and CRh* was defined as having ≤ 5% blasts in the bone marrow, no other evidence of disease, and partial recovery of peripheral blood counts (platelets &gt; 50,000/μL and ANC &gt; 500/μL).</w:t>
            </w:r>
          </w:p>
          <w:p w14:paraId="4F16D0C0" w14:textId="77777777" w:rsidR="003E3E6B" w:rsidRDefault="003E3E6B" w:rsidP="00BD5E90"/>
          <w:p w14:paraId="395338F5" w14:textId="77777777" w:rsidR="003E3E6B" w:rsidRDefault="003E3E6B" w:rsidP="00BD5E90">
            <w:r>
              <w:t>MT103-206 Phase II Supportive: Same as above.</w:t>
            </w:r>
          </w:p>
          <w:p w14:paraId="48BCD55D" w14:textId="77777777" w:rsidR="003E3E6B" w:rsidRDefault="003E3E6B" w:rsidP="00BD5E90"/>
          <w:p w14:paraId="0F5219C5" w14:textId="77777777" w:rsidR="003E3E6B" w:rsidRDefault="003E3E6B" w:rsidP="00BD5E90">
            <w:r>
              <w:t xml:space="preserve">Other supportive studies include historical comparator, meta-analysis </w:t>
            </w:r>
          </w:p>
        </w:tc>
        <w:tc>
          <w:tcPr>
            <w:tcW w:w="1932" w:type="dxa"/>
          </w:tcPr>
          <w:p w14:paraId="5BB34AE5" w14:textId="77777777" w:rsidR="00305BCD" w:rsidRDefault="003E3E6B" w:rsidP="00BD5E90">
            <w:r>
              <w:t>Yes:</w:t>
            </w:r>
          </w:p>
          <w:p w14:paraId="084D131A" w14:textId="77777777" w:rsidR="003E3E6B" w:rsidRDefault="003E3E6B" w:rsidP="00BD5E90"/>
          <w:p w14:paraId="0FE2931B" w14:textId="77777777" w:rsidR="003E3E6B" w:rsidRDefault="003E3E6B" w:rsidP="00BD5E90">
            <w:r>
              <w:t>Complete response/CR with partial haematological recovery rate (pivotal)</w:t>
            </w:r>
          </w:p>
        </w:tc>
      </w:tr>
      <w:tr w:rsidR="00305BCD" w14:paraId="5A32ACF9" w14:textId="77777777" w:rsidTr="009C0297">
        <w:tc>
          <w:tcPr>
            <w:tcW w:w="2673" w:type="dxa"/>
          </w:tcPr>
          <w:p w14:paraId="5A9A1D2E" w14:textId="77777777" w:rsidR="00305BCD" w:rsidRDefault="003E3E6B" w:rsidP="00BD5E90">
            <w:pPr>
              <w:rPr>
                <w:rStyle w:val="Emphasis"/>
                <w:rFonts w:cstheme="minorHAnsi"/>
                <w:b/>
                <w:i w:val="0"/>
                <w:color w:val="000000"/>
              </w:rPr>
            </w:pPr>
            <w:r>
              <w:rPr>
                <w:rStyle w:val="Emphasis"/>
                <w:rFonts w:cstheme="minorHAnsi"/>
                <w:b/>
                <w:i w:val="0"/>
                <w:color w:val="000000"/>
              </w:rPr>
              <w:t>osimertinib</w:t>
            </w:r>
          </w:p>
          <w:p w14:paraId="655E4F1E" w14:textId="77777777" w:rsidR="003E3E6B" w:rsidRDefault="003E3E6B" w:rsidP="00BD5E90">
            <w:pPr>
              <w:rPr>
                <w:rStyle w:val="Emphasis"/>
                <w:rFonts w:cstheme="minorHAnsi"/>
                <w:b/>
                <w:i w:val="0"/>
                <w:color w:val="000000"/>
              </w:rPr>
            </w:pPr>
          </w:p>
          <w:p w14:paraId="6E0E27D5" w14:textId="77777777" w:rsidR="003E3E6B" w:rsidRDefault="003E3E6B" w:rsidP="00BD5E90">
            <w:pPr>
              <w:rPr>
                <w:rStyle w:val="Emphasis"/>
                <w:rFonts w:cstheme="minorHAnsi"/>
                <w:i w:val="0"/>
                <w:color w:val="000000"/>
              </w:rPr>
            </w:pPr>
            <w:r>
              <w:rPr>
                <w:rStyle w:val="Emphasis"/>
                <w:rFonts w:cstheme="minorHAnsi"/>
                <w:i w:val="0"/>
                <w:color w:val="000000"/>
              </w:rPr>
              <w:t>Tagrisso</w:t>
            </w:r>
          </w:p>
          <w:p w14:paraId="301B12D6" w14:textId="77777777" w:rsidR="003E3E6B" w:rsidRDefault="003E3E6B" w:rsidP="00BD5E90">
            <w:pPr>
              <w:rPr>
                <w:rStyle w:val="Emphasis"/>
                <w:rFonts w:cstheme="minorHAnsi"/>
                <w:i w:val="0"/>
                <w:color w:val="000000"/>
              </w:rPr>
            </w:pPr>
          </w:p>
          <w:p w14:paraId="19AE6A58" w14:textId="77777777" w:rsidR="003E3E6B" w:rsidRDefault="003E3E6B" w:rsidP="00BD5E90">
            <w:pPr>
              <w:rPr>
                <w:rStyle w:val="Emphasis"/>
                <w:rFonts w:cstheme="minorHAnsi"/>
                <w:i w:val="0"/>
                <w:color w:val="000000"/>
              </w:rPr>
            </w:pPr>
            <w:r>
              <w:rPr>
                <w:rStyle w:val="Emphasis"/>
                <w:rFonts w:cstheme="minorHAnsi"/>
                <w:i w:val="0"/>
                <w:color w:val="000000"/>
              </w:rPr>
              <w:t>CMA 02/02/16</w:t>
            </w:r>
          </w:p>
          <w:p w14:paraId="53327A33" w14:textId="77777777" w:rsidR="003E3E6B" w:rsidRDefault="003E3E6B" w:rsidP="00BD5E90">
            <w:pPr>
              <w:rPr>
                <w:rStyle w:val="Emphasis"/>
                <w:rFonts w:cstheme="minorHAnsi"/>
                <w:i w:val="0"/>
                <w:color w:val="000000"/>
              </w:rPr>
            </w:pPr>
          </w:p>
          <w:p w14:paraId="5286D443" w14:textId="77777777" w:rsidR="003E3E6B" w:rsidRDefault="003E3E6B" w:rsidP="00BD5E90">
            <w:pPr>
              <w:rPr>
                <w:rStyle w:val="Emphasis"/>
                <w:rFonts w:cstheme="minorHAnsi"/>
                <w:i w:val="0"/>
                <w:color w:val="000000"/>
              </w:rPr>
            </w:pPr>
            <w:r>
              <w:rPr>
                <w:rStyle w:val="Emphasis"/>
                <w:rFonts w:cstheme="minorHAnsi"/>
                <w:i w:val="0"/>
                <w:color w:val="000000"/>
              </w:rPr>
              <w:lastRenderedPageBreak/>
              <w:t>Full MA 24/04/17</w:t>
            </w:r>
          </w:p>
          <w:p w14:paraId="1989F119" w14:textId="77777777" w:rsidR="003E3E6B" w:rsidRDefault="003E3E6B" w:rsidP="00BD5E90">
            <w:pPr>
              <w:rPr>
                <w:rStyle w:val="Emphasis"/>
                <w:rFonts w:cstheme="minorHAnsi"/>
                <w:i w:val="0"/>
                <w:color w:val="000000"/>
              </w:rPr>
            </w:pPr>
          </w:p>
          <w:p w14:paraId="5BF30EFE" w14:textId="77777777" w:rsidR="003E3E6B" w:rsidRPr="003E3E6B" w:rsidRDefault="003E3E6B" w:rsidP="00BD5E90">
            <w:pPr>
              <w:rPr>
                <w:rStyle w:val="Emphasis"/>
                <w:rFonts w:cstheme="minorHAnsi"/>
                <w:i w:val="0"/>
                <w:color w:val="000000"/>
              </w:rPr>
            </w:pPr>
            <w:r>
              <w:t>EMA/CHMP/15445/20165</w:t>
            </w:r>
          </w:p>
        </w:tc>
        <w:tc>
          <w:tcPr>
            <w:tcW w:w="3093" w:type="dxa"/>
          </w:tcPr>
          <w:p w14:paraId="169307FC" w14:textId="77777777" w:rsidR="00305BCD" w:rsidRDefault="00E441BC" w:rsidP="00BD5E90">
            <w:r>
              <w:lastRenderedPageBreak/>
              <w:t>TAGRISSO is indicated for the treatment of adult patients with locally advanced or metastatic EGRF T790 mutation-positive non-small cell lung cancer (NSCLC)</w:t>
            </w:r>
          </w:p>
        </w:tc>
        <w:tc>
          <w:tcPr>
            <w:tcW w:w="3926" w:type="dxa"/>
          </w:tcPr>
          <w:p w14:paraId="21A5FCA1" w14:textId="77777777" w:rsidR="00FA2707" w:rsidRDefault="00FA2707" w:rsidP="00FA2707">
            <w:r>
              <w:t>AURA Phase I/II, AURA2 Phase II Pivotal: In both studies, the primary efficacy endpoint variable was the ORR according to RECIST 1.1 by BICR using the evaluable for response analysis set.</w:t>
            </w:r>
          </w:p>
        </w:tc>
        <w:tc>
          <w:tcPr>
            <w:tcW w:w="1932" w:type="dxa"/>
          </w:tcPr>
          <w:p w14:paraId="77D97B29" w14:textId="77777777" w:rsidR="00305BCD" w:rsidRDefault="00FA2707" w:rsidP="00BD5E90">
            <w:r>
              <w:t>Yes:</w:t>
            </w:r>
          </w:p>
          <w:p w14:paraId="6D56C974" w14:textId="77777777" w:rsidR="00FA2707" w:rsidRDefault="00FA2707" w:rsidP="00BD5E90"/>
          <w:p w14:paraId="357B6732" w14:textId="77777777" w:rsidR="00FA2707" w:rsidRDefault="00FA2707" w:rsidP="00BD5E90">
            <w:r>
              <w:t>Objective response rate (pivotal)</w:t>
            </w:r>
          </w:p>
        </w:tc>
      </w:tr>
      <w:tr w:rsidR="00305BCD" w14:paraId="3995C95A" w14:textId="77777777" w:rsidTr="009C0297">
        <w:tc>
          <w:tcPr>
            <w:tcW w:w="2673" w:type="dxa"/>
          </w:tcPr>
          <w:p w14:paraId="6522B50E" w14:textId="77777777" w:rsidR="00305BCD" w:rsidRDefault="00FA73B8" w:rsidP="00BD5E90">
            <w:pPr>
              <w:rPr>
                <w:rStyle w:val="Emphasis"/>
                <w:rFonts w:cstheme="minorHAnsi"/>
                <w:b/>
                <w:i w:val="0"/>
                <w:color w:val="000000"/>
              </w:rPr>
            </w:pPr>
            <w:r>
              <w:rPr>
                <w:rStyle w:val="Emphasis"/>
                <w:rFonts w:cstheme="minorHAnsi"/>
                <w:b/>
                <w:i w:val="0"/>
                <w:color w:val="000000"/>
              </w:rPr>
              <w:t>raltegravir</w:t>
            </w:r>
          </w:p>
          <w:p w14:paraId="7F88C9CD" w14:textId="77777777" w:rsidR="00FA73B8" w:rsidRDefault="00FA73B8" w:rsidP="00BD5E90">
            <w:pPr>
              <w:rPr>
                <w:rStyle w:val="Emphasis"/>
                <w:rFonts w:cstheme="minorHAnsi"/>
                <w:b/>
                <w:i w:val="0"/>
                <w:color w:val="000000"/>
              </w:rPr>
            </w:pPr>
          </w:p>
          <w:p w14:paraId="3DB2B702" w14:textId="77777777" w:rsidR="00FA73B8" w:rsidRDefault="00FA73B8" w:rsidP="00BD5E90">
            <w:pPr>
              <w:rPr>
                <w:rStyle w:val="Emphasis"/>
                <w:rFonts w:cstheme="minorHAnsi"/>
                <w:i w:val="0"/>
                <w:color w:val="000000"/>
              </w:rPr>
            </w:pPr>
            <w:r>
              <w:rPr>
                <w:rStyle w:val="Emphasis"/>
                <w:rFonts w:cstheme="minorHAnsi"/>
                <w:i w:val="0"/>
                <w:color w:val="000000"/>
              </w:rPr>
              <w:t>Isentress</w:t>
            </w:r>
          </w:p>
          <w:p w14:paraId="0C23932F" w14:textId="77777777" w:rsidR="00FA73B8" w:rsidRDefault="00FA73B8" w:rsidP="00BD5E90">
            <w:pPr>
              <w:rPr>
                <w:rStyle w:val="Emphasis"/>
                <w:rFonts w:cstheme="minorHAnsi"/>
                <w:i w:val="0"/>
                <w:color w:val="000000"/>
              </w:rPr>
            </w:pPr>
          </w:p>
          <w:p w14:paraId="4BD2222E" w14:textId="77777777" w:rsidR="00FA73B8" w:rsidRDefault="00FA73B8" w:rsidP="00BD5E90">
            <w:pPr>
              <w:rPr>
                <w:rStyle w:val="Emphasis"/>
                <w:rFonts w:cstheme="minorHAnsi"/>
                <w:i w:val="0"/>
                <w:color w:val="000000"/>
              </w:rPr>
            </w:pPr>
            <w:r>
              <w:rPr>
                <w:rStyle w:val="Emphasis"/>
                <w:rFonts w:cstheme="minorHAnsi"/>
                <w:i w:val="0"/>
                <w:color w:val="000000"/>
              </w:rPr>
              <w:t>CMA 20/12/07</w:t>
            </w:r>
          </w:p>
          <w:p w14:paraId="577609B7" w14:textId="77777777" w:rsidR="00FA73B8" w:rsidRDefault="00FA73B8" w:rsidP="00BD5E90">
            <w:pPr>
              <w:rPr>
                <w:rStyle w:val="Emphasis"/>
                <w:rFonts w:cstheme="minorHAnsi"/>
                <w:i w:val="0"/>
                <w:color w:val="000000"/>
              </w:rPr>
            </w:pPr>
          </w:p>
          <w:p w14:paraId="665F8480" w14:textId="77777777" w:rsidR="00FA73B8" w:rsidRPr="00FA73B8" w:rsidRDefault="00FA73B8" w:rsidP="00BD5E90">
            <w:pPr>
              <w:rPr>
                <w:rStyle w:val="Emphasis"/>
                <w:rFonts w:cstheme="minorHAnsi"/>
                <w:i w:val="0"/>
                <w:color w:val="000000"/>
              </w:rPr>
            </w:pPr>
            <w:r>
              <w:rPr>
                <w:rStyle w:val="Emphasis"/>
                <w:rFonts w:cstheme="minorHAnsi"/>
                <w:i w:val="0"/>
                <w:color w:val="000000"/>
              </w:rPr>
              <w:t>Full MA 14/07/09</w:t>
            </w:r>
          </w:p>
        </w:tc>
        <w:tc>
          <w:tcPr>
            <w:tcW w:w="3093" w:type="dxa"/>
          </w:tcPr>
          <w:p w14:paraId="796B063A" w14:textId="77777777" w:rsidR="00305BCD" w:rsidRDefault="00E441BC" w:rsidP="00BD5E90">
            <w:r>
              <w:t>ISENTRESS is indicated in combination with other anti-retroviral medicinal products for the treatment of human immunodeficiency virus (HIV-1) infection in treatment-experienced adult patients with evidence of HIV-1 replication despite ongoing anti-retroviral therapy</w:t>
            </w:r>
          </w:p>
        </w:tc>
        <w:tc>
          <w:tcPr>
            <w:tcW w:w="3926" w:type="dxa"/>
          </w:tcPr>
          <w:p w14:paraId="19DAD635" w14:textId="77777777" w:rsidR="00E441BC" w:rsidRDefault="00E441BC" w:rsidP="00E441BC">
            <w:r>
              <w:t>No Public Assessment Report, used Scientific Discussion report.</w:t>
            </w:r>
          </w:p>
          <w:p w14:paraId="7B5881E6" w14:textId="77777777" w:rsidR="00305BCD" w:rsidRDefault="00305BCD" w:rsidP="00BD5E90"/>
          <w:p w14:paraId="0D7C3BCF" w14:textId="77777777" w:rsidR="00E441BC" w:rsidRDefault="00E441BC" w:rsidP="00BD5E90">
            <w:r>
              <w:t xml:space="preserve">BENCHMRK 1, 2 Phase III Pivotal: The primary measurement for efficacy in the study was the percentage with &lt; 400 copies/ml and the primary time point for evaluation of efficacy was Week 16.  </w:t>
            </w:r>
          </w:p>
        </w:tc>
        <w:tc>
          <w:tcPr>
            <w:tcW w:w="1932" w:type="dxa"/>
          </w:tcPr>
          <w:p w14:paraId="720F335C" w14:textId="77777777" w:rsidR="00305BCD" w:rsidRDefault="00E441BC" w:rsidP="00BD5E90">
            <w:r>
              <w:t>Yes:</w:t>
            </w:r>
          </w:p>
          <w:p w14:paraId="4C325558" w14:textId="77777777" w:rsidR="00E441BC" w:rsidRDefault="00E441BC" w:rsidP="00BD5E90"/>
          <w:p w14:paraId="4200F3CD" w14:textId="77777777" w:rsidR="00E441BC" w:rsidRDefault="00E441BC" w:rsidP="00BD5E90">
            <w:r>
              <w:t>Percentage with viral load &lt;400 copies/mL (pivotal)</w:t>
            </w:r>
          </w:p>
        </w:tc>
      </w:tr>
      <w:tr w:rsidR="00305BCD" w14:paraId="5EE8F567" w14:textId="77777777" w:rsidTr="009C0297">
        <w:tc>
          <w:tcPr>
            <w:tcW w:w="2673" w:type="dxa"/>
          </w:tcPr>
          <w:p w14:paraId="425A5F48" w14:textId="77777777" w:rsidR="00305BCD" w:rsidRDefault="00226D12" w:rsidP="00BD5E90">
            <w:pPr>
              <w:rPr>
                <w:rStyle w:val="Emphasis"/>
                <w:rFonts w:cstheme="minorHAnsi"/>
                <w:b/>
                <w:i w:val="0"/>
                <w:color w:val="000000"/>
              </w:rPr>
            </w:pPr>
            <w:r>
              <w:rPr>
                <w:rStyle w:val="Emphasis"/>
                <w:rFonts w:cstheme="minorHAnsi"/>
                <w:b/>
                <w:i w:val="0"/>
                <w:color w:val="000000"/>
              </w:rPr>
              <w:t>avelumab</w:t>
            </w:r>
          </w:p>
          <w:p w14:paraId="200621FA" w14:textId="77777777" w:rsidR="00226D12" w:rsidRDefault="00226D12" w:rsidP="00BD5E90">
            <w:pPr>
              <w:rPr>
                <w:rStyle w:val="Emphasis"/>
                <w:rFonts w:cstheme="minorHAnsi"/>
                <w:b/>
                <w:i w:val="0"/>
                <w:color w:val="000000"/>
              </w:rPr>
            </w:pPr>
          </w:p>
          <w:p w14:paraId="26523EFA" w14:textId="77777777" w:rsidR="00226D12" w:rsidRDefault="00226D12" w:rsidP="00BD5E90">
            <w:pPr>
              <w:rPr>
                <w:rStyle w:val="Emphasis"/>
                <w:rFonts w:cstheme="minorHAnsi"/>
                <w:i w:val="0"/>
                <w:color w:val="000000"/>
              </w:rPr>
            </w:pPr>
            <w:r>
              <w:rPr>
                <w:rStyle w:val="Emphasis"/>
                <w:rFonts w:cstheme="minorHAnsi"/>
                <w:i w:val="0"/>
                <w:color w:val="000000"/>
              </w:rPr>
              <w:t>Bavencio</w:t>
            </w:r>
          </w:p>
          <w:p w14:paraId="3C46B76A" w14:textId="77777777" w:rsidR="00226D12" w:rsidRDefault="00226D12" w:rsidP="00BD5E90">
            <w:pPr>
              <w:rPr>
                <w:rStyle w:val="Emphasis"/>
                <w:rFonts w:cstheme="minorHAnsi"/>
                <w:i w:val="0"/>
                <w:color w:val="000000"/>
              </w:rPr>
            </w:pPr>
          </w:p>
          <w:p w14:paraId="7FF738FE" w14:textId="77777777" w:rsidR="00226D12" w:rsidRDefault="00226D12" w:rsidP="00BD5E90">
            <w:pPr>
              <w:rPr>
                <w:rStyle w:val="Emphasis"/>
                <w:rFonts w:cstheme="minorHAnsi"/>
                <w:i w:val="0"/>
                <w:color w:val="000000"/>
              </w:rPr>
            </w:pPr>
            <w:r>
              <w:rPr>
                <w:rStyle w:val="Emphasis"/>
                <w:rFonts w:cstheme="minorHAnsi"/>
                <w:i w:val="0"/>
                <w:color w:val="000000"/>
              </w:rPr>
              <w:t>CMA 18/09/17</w:t>
            </w:r>
          </w:p>
          <w:p w14:paraId="4A526029" w14:textId="77777777" w:rsidR="00226D12" w:rsidRDefault="00226D12" w:rsidP="00BD5E90">
            <w:pPr>
              <w:rPr>
                <w:rStyle w:val="Emphasis"/>
                <w:rFonts w:cstheme="minorHAnsi"/>
                <w:i w:val="0"/>
                <w:color w:val="000000"/>
              </w:rPr>
            </w:pPr>
          </w:p>
          <w:p w14:paraId="553FD059" w14:textId="77777777" w:rsidR="00226D12" w:rsidRDefault="00226D12" w:rsidP="00BD5E90">
            <w:pPr>
              <w:rPr>
                <w:rStyle w:val="Emphasis"/>
                <w:rFonts w:cstheme="minorHAnsi"/>
                <w:i w:val="0"/>
                <w:color w:val="000000"/>
              </w:rPr>
            </w:pPr>
            <w:r>
              <w:rPr>
                <w:rStyle w:val="Emphasis"/>
                <w:rFonts w:cstheme="minorHAnsi"/>
                <w:i w:val="0"/>
                <w:color w:val="000000"/>
              </w:rPr>
              <w:t>Full MA 19/08/20</w:t>
            </w:r>
          </w:p>
          <w:p w14:paraId="0C28BCCE" w14:textId="77777777" w:rsidR="00226D12" w:rsidRDefault="00226D12" w:rsidP="00BD5E90">
            <w:pPr>
              <w:rPr>
                <w:rStyle w:val="Emphasis"/>
                <w:rFonts w:cstheme="minorHAnsi"/>
                <w:i w:val="0"/>
                <w:color w:val="000000"/>
              </w:rPr>
            </w:pPr>
          </w:p>
          <w:p w14:paraId="11DFCF7B" w14:textId="77777777" w:rsidR="00226D12" w:rsidRPr="00226D12" w:rsidRDefault="00226D12" w:rsidP="00BD5E90">
            <w:pPr>
              <w:rPr>
                <w:rStyle w:val="Emphasis"/>
                <w:rFonts w:cstheme="minorHAnsi"/>
                <w:i w:val="0"/>
                <w:color w:val="000000"/>
              </w:rPr>
            </w:pPr>
            <w:r>
              <w:t>EMA/496529/2017</w:t>
            </w:r>
          </w:p>
        </w:tc>
        <w:tc>
          <w:tcPr>
            <w:tcW w:w="3093" w:type="dxa"/>
          </w:tcPr>
          <w:p w14:paraId="52274E57" w14:textId="77777777" w:rsidR="00305BCD" w:rsidRDefault="00226D12" w:rsidP="00BD5E90">
            <w:r>
              <w:t>Bavencio is indicated as monotherapy for the treatment of adult patients with metastatic Merkel cell carcinoma (MCC)</w:t>
            </w:r>
          </w:p>
        </w:tc>
        <w:tc>
          <w:tcPr>
            <w:tcW w:w="3926" w:type="dxa"/>
          </w:tcPr>
          <w:p w14:paraId="48F54356" w14:textId="77777777" w:rsidR="00305BCD" w:rsidRDefault="00226D12" w:rsidP="00BD5E90">
            <w:r>
              <w:t>EMR100070-003 Phase II Pivotal: ORR according to RECIST 1.1 as determined by an IERC ORR definition: proportion of subjects with a confirmed BOR of CR or PR, based on independent tumor assessment according to RECIST 1.1</w:t>
            </w:r>
          </w:p>
          <w:p w14:paraId="04250B05" w14:textId="77777777" w:rsidR="00226D12" w:rsidRDefault="00226D12" w:rsidP="00BD5E90"/>
          <w:p w14:paraId="1C246AF4" w14:textId="77777777" w:rsidR="00226D12" w:rsidRDefault="00226D12" w:rsidP="00BD5E90">
            <w:r>
              <w:t>Above study Part B Supportive: Interim efficacy data with ORR also</w:t>
            </w:r>
          </w:p>
          <w:p w14:paraId="3C27C598" w14:textId="77777777" w:rsidR="00226D12" w:rsidRDefault="00226D12" w:rsidP="00BD5E90"/>
          <w:p w14:paraId="5CD41F79" w14:textId="77777777" w:rsidR="00226D12" w:rsidRDefault="00226D12" w:rsidP="00BD5E90">
            <w:r>
              <w:t xml:space="preserve">100070-Obs001 Observational Supportive: The primary endpoint was the patients’ BOR to their line of systemic chemotherapy. </w:t>
            </w:r>
          </w:p>
        </w:tc>
        <w:tc>
          <w:tcPr>
            <w:tcW w:w="1932" w:type="dxa"/>
          </w:tcPr>
          <w:p w14:paraId="50C85B31" w14:textId="77777777" w:rsidR="00305BCD" w:rsidRDefault="00226D12" w:rsidP="00BD5E90">
            <w:r>
              <w:t>Yes:</w:t>
            </w:r>
          </w:p>
          <w:p w14:paraId="315F58C5" w14:textId="77777777" w:rsidR="00226D12" w:rsidRDefault="00226D12" w:rsidP="00BD5E90"/>
          <w:p w14:paraId="31DD3B9C" w14:textId="77777777" w:rsidR="00226D12" w:rsidRDefault="00226D12" w:rsidP="00BD5E90">
            <w:r>
              <w:t>Objective response rate (pivotal)</w:t>
            </w:r>
          </w:p>
          <w:p w14:paraId="0F449270" w14:textId="77777777" w:rsidR="00226D12" w:rsidRDefault="00226D12" w:rsidP="00BD5E90"/>
          <w:p w14:paraId="54B28018" w14:textId="77777777" w:rsidR="00226D12" w:rsidRDefault="00226D12" w:rsidP="00BD5E90">
            <w:r>
              <w:t xml:space="preserve">Best overall response </w:t>
            </w:r>
          </w:p>
        </w:tc>
      </w:tr>
      <w:tr w:rsidR="00305BCD" w14:paraId="6D8FC811" w14:textId="77777777" w:rsidTr="009C0297">
        <w:tc>
          <w:tcPr>
            <w:tcW w:w="2673" w:type="dxa"/>
          </w:tcPr>
          <w:p w14:paraId="2A1B64B5" w14:textId="77777777" w:rsidR="00305BCD" w:rsidRDefault="00901111" w:rsidP="00BD5E90">
            <w:pPr>
              <w:rPr>
                <w:rStyle w:val="Emphasis"/>
                <w:rFonts w:cstheme="minorHAnsi"/>
                <w:b/>
                <w:i w:val="0"/>
                <w:color w:val="000000"/>
              </w:rPr>
            </w:pPr>
            <w:r>
              <w:rPr>
                <w:rStyle w:val="Emphasis"/>
                <w:rFonts w:cstheme="minorHAnsi"/>
                <w:b/>
                <w:i w:val="0"/>
                <w:color w:val="000000"/>
              </w:rPr>
              <w:t>lapatinib</w:t>
            </w:r>
          </w:p>
          <w:p w14:paraId="77F349FE" w14:textId="77777777" w:rsidR="00901111" w:rsidRDefault="00901111" w:rsidP="00BD5E90">
            <w:pPr>
              <w:rPr>
                <w:rStyle w:val="Emphasis"/>
                <w:rFonts w:cstheme="minorHAnsi"/>
                <w:b/>
                <w:i w:val="0"/>
                <w:color w:val="000000"/>
              </w:rPr>
            </w:pPr>
          </w:p>
          <w:p w14:paraId="4B6A9819" w14:textId="77777777" w:rsidR="00901111" w:rsidRDefault="00901111" w:rsidP="00BD5E90">
            <w:pPr>
              <w:rPr>
                <w:rStyle w:val="Emphasis"/>
                <w:rFonts w:cstheme="minorHAnsi"/>
                <w:i w:val="0"/>
                <w:color w:val="000000"/>
              </w:rPr>
            </w:pPr>
            <w:r>
              <w:rPr>
                <w:rStyle w:val="Emphasis"/>
                <w:rFonts w:cstheme="minorHAnsi"/>
                <w:i w:val="0"/>
                <w:color w:val="000000"/>
              </w:rPr>
              <w:t>Tyverb</w:t>
            </w:r>
          </w:p>
          <w:p w14:paraId="5359D69D" w14:textId="77777777" w:rsidR="00901111" w:rsidRDefault="00901111" w:rsidP="00BD5E90">
            <w:pPr>
              <w:rPr>
                <w:rStyle w:val="Emphasis"/>
                <w:rFonts w:cstheme="minorHAnsi"/>
                <w:i w:val="0"/>
                <w:color w:val="000000"/>
              </w:rPr>
            </w:pPr>
          </w:p>
          <w:p w14:paraId="388B3594" w14:textId="77777777" w:rsidR="00901111" w:rsidRDefault="00901111" w:rsidP="00BD5E90">
            <w:pPr>
              <w:rPr>
                <w:rStyle w:val="Emphasis"/>
                <w:rFonts w:cstheme="minorHAnsi"/>
                <w:i w:val="0"/>
                <w:color w:val="000000"/>
              </w:rPr>
            </w:pPr>
            <w:r>
              <w:rPr>
                <w:rStyle w:val="Emphasis"/>
                <w:rFonts w:cstheme="minorHAnsi"/>
                <w:i w:val="0"/>
                <w:color w:val="000000"/>
              </w:rPr>
              <w:t>CMA 10/06/08</w:t>
            </w:r>
          </w:p>
          <w:p w14:paraId="4F9341DC" w14:textId="77777777" w:rsidR="00901111" w:rsidRDefault="00901111" w:rsidP="00BD5E90">
            <w:pPr>
              <w:rPr>
                <w:rStyle w:val="Emphasis"/>
                <w:rFonts w:cstheme="minorHAnsi"/>
                <w:i w:val="0"/>
                <w:color w:val="000000"/>
              </w:rPr>
            </w:pPr>
          </w:p>
          <w:p w14:paraId="5F527F9E" w14:textId="77777777" w:rsidR="00901111" w:rsidRDefault="00901111" w:rsidP="00BD5E90">
            <w:pPr>
              <w:rPr>
                <w:rStyle w:val="Emphasis"/>
                <w:rFonts w:cstheme="minorHAnsi"/>
                <w:i w:val="0"/>
                <w:color w:val="000000"/>
              </w:rPr>
            </w:pPr>
            <w:r>
              <w:rPr>
                <w:rStyle w:val="Emphasis"/>
                <w:rFonts w:cstheme="minorHAnsi"/>
                <w:i w:val="0"/>
                <w:color w:val="000000"/>
              </w:rPr>
              <w:t>Full MA 17/02/15</w:t>
            </w:r>
          </w:p>
          <w:p w14:paraId="7AF6C369" w14:textId="77777777" w:rsidR="00901111" w:rsidRDefault="00901111" w:rsidP="00BD5E90">
            <w:pPr>
              <w:rPr>
                <w:rStyle w:val="Emphasis"/>
                <w:rFonts w:cstheme="minorHAnsi"/>
                <w:i w:val="0"/>
                <w:color w:val="000000"/>
              </w:rPr>
            </w:pPr>
          </w:p>
          <w:p w14:paraId="67B38C60" w14:textId="77777777" w:rsidR="00901111" w:rsidRPr="00901111" w:rsidRDefault="00901111" w:rsidP="00BD5E90">
            <w:pPr>
              <w:rPr>
                <w:rStyle w:val="Emphasis"/>
                <w:rFonts w:cstheme="minorHAnsi"/>
                <w:i w:val="0"/>
                <w:color w:val="000000"/>
              </w:rPr>
            </w:pPr>
            <w:r>
              <w:t>EMEA/H/C/795</w:t>
            </w:r>
          </w:p>
        </w:tc>
        <w:tc>
          <w:tcPr>
            <w:tcW w:w="3093" w:type="dxa"/>
          </w:tcPr>
          <w:p w14:paraId="6E1D3B2E" w14:textId="77777777" w:rsidR="00305BCD" w:rsidRDefault="00FB2EC9" w:rsidP="00BD5E90">
            <w:r>
              <w:t>[T]reatment of: Patients with advanced or metastatic breast cancer whose tumours overexpress ErbB2 (HER2). Patients should have progressive disease following prior therapy which must include anthracyclines and taxanes and therapy with trastuzumab in the metastatic setting</w:t>
            </w:r>
          </w:p>
        </w:tc>
        <w:tc>
          <w:tcPr>
            <w:tcW w:w="3926" w:type="dxa"/>
          </w:tcPr>
          <w:p w14:paraId="72743AA9" w14:textId="77777777" w:rsidR="00305BCD" w:rsidRDefault="00901111" w:rsidP="00BD5E90">
            <w:r>
              <w:t>EGF100151 Phase III Pivotal: Time to progression (TTP, disease progression or death due to breast cancer prior to progression), was established by an independent review committee (IRC), who were blinded to study treatment, after radiological assessment including a chest CT (or MRI) scan including liver or alternatively, separate chest and abdominal CT (or MRI) scan and a bone scan</w:t>
            </w:r>
          </w:p>
          <w:p w14:paraId="6FFB5569" w14:textId="77777777" w:rsidR="00901111" w:rsidRDefault="00901111" w:rsidP="00BD5E90"/>
          <w:p w14:paraId="18088C44" w14:textId="77777777" w:rsidR="00901111" w:rsidRDefault="00901111" w:rsidP="00BD5E90">
            <w:r>
              <w:t>EGF30001 Phase III Supportive: TTP</w:t>
            </w:r>
          </w:p>
          <w:p w14:paraId="1AF9CE91" w14:textId="77777777" w:rsidR="00901111" w:rsidRDefault="00901111" w:rsidP="00BD5E90"/>
          <w:p w14:paraId="7C765D8D" w14:textId="77777777" w:rsidR="00901111" w:rsidRDefault="00901111" w:rsidP="00BD5E90">
            <w:r>
              <w:t>EGF103659 Open Supportive: BOR</w:t>
            </w:r>
          </w:p>
        </w:tc>
        <w:tc>
          <w:tcPr>
            <w:tcW w:w="1932" w:type="dxa"/>
          </w:tcPr>
          <w:p w14:paraId="63EFD1FF" w14:textId="77777777" w:rsidR="00901111" w:rsidRDefault="00901111" w:rsidP="00BD5E90">
            <w:r>
              <w:t>Yes:</w:t>
            </w:r>
          </w:p>
          <w:p w14:paraId="02581382" w14:textId="77777777" w:rsidR="00901111" w:rsidRDefault="00901111" w:rsidP="00BD5E90"/>
          <w:p w14:paraId="07F11CF9" w14:textId="77777777" w:rsidR="00901111" w:rsidRDefault="00901111" w:rsidP="00BD5E90">
            <w:r>
              <w:t>Time to progression (pivotal)</w:t>
            </w:r>
          </w:p>
          <w:p w14:paraId="47F13F85" w14:textId="77777777" w:rsidR="00901111" w:rsidRDefault="00901111" w:rsidP="00BD5E90"/>
          <w:p w14:paraId="0D1EB198" w14:textId="77777777" w:rsidR="00901111" w:rsidRDefault="00901111" w:rsidP="00BD5E90">
            <w:r>
              <w:t xml:space="preserve">Best overall response </w:t>
            </w:r>
          </w:p>
        </w:tc>
      </w:tr>
      <w:tr w:rsidR="00305BCD" w14:paraId="141EAC0B" w14:textId="77777777" w:rsidTr="009C0297">
        <w:tc>
          <w:tcPr>
            <w:tcW w:w="2673" w:type="dxa"/>
          </w:tcPr>
          <w:p w14:paraId="3FFB28B1" w14:textId="77777777" w:rsidR="00305BCD" w:rsidRDefault="00AC04B5" w:rsidP="00BD5E90">
            <w:pPr>
              <w:rPr>
                <w:rStyle w:val="Emphasis"/>
                <w:rFonts w:cstheme="minorHAnsi"/>
                <w:b/>
                <w:i w:val="0"/>
                <w:color w:val="000000"/>
              </w:rPr>
            </w:pPr>
            <w:r>
              <w:rPr>
                <w:rStyle w:val="Emphasis"/>
                <w:rFonts w:cstheme="minorHAnsi"/>
                <w:b/>
                <w:i w:val="0"/>
                <w:color w:val="000000"/>
              </w:rPr>
              <w:t>panitumumab</w:t>
            </w:r>
          </w:p>
          <w:p w14:paraId="2154D329" w14:textId="77777777" w:rsidR="00AC04B5" w:rsidRDefault="00AC04B5" w:rsidP="00BD5E90">
            <w:pPr>
              <w:rPr>
                <w:rStyle w:val="Emphasis"/>
                <w:rFonts w:cstheme="minorHAnsi"/>
                <w:b/>
                <w:i w:val="0"/>
                <w:color w:val="000000"/>
              </w:rPr>
            </w:pPr>
          </w:p>
          <w:p w14:paraId="4E35A2F6" w14:textId="77777777" w:rsidR="00AC04B5" w:rsidRDefault="00AC04B5" w:rsidP="00BD5E90">
            <w:pPr>
              <w:rPr>
                <w:rStyle w:val="Emphasis"/>
                <w:rFonts w:cstheme="minorHAnsi"/>
                <w:i w:val="0"/>
                <w:color w:val="000000"/>
              </w:rPr>
            </w:pPr>
            <w:r>
              <w:rPr>
                <w:rStyle w:val="Emphasis"/>
                <w:rFonts w:cstheme="minorHAnsi"/>
                <w:i w:val="0"/>
                <w:color w:val="000000"/>
              </w:rPr>
              <w:t>Vectibix</w:t>
            </w:r>
          </w:p>
          <w:p w14:paraId="7AB993C0" w14:textId="77777777" w:rsidR="00AC04B5" w:rsidRDefault="00AC04B5" w:rsidP="00BD5E90">
            <w:pPr>
              <w:rPr>
                <w:rStyle w:val="Emphasis"/>
                <w:rFonts w:cstheme="minorHAnsi"/>
                <w:i w:val="0"/>
                <w:color w:val="000000"/>
              </w:rPr>
            </w:pPr>
          </w:p>
          <w:p w14:paraId="3C662B87" w14:textId="77777777" w:rsidR="00AC04B5" w:rsidRDefault="00AC04B5" w:rsidP="00BD5E90">
            <w:pPr>
              <w:rPr>
                <w:rStyle w:val="Emphasis"/>
                <w:rFonts w:cstheme="minorHAnsi"/>
                <w:i w:val="0"/>
                <w:color w:val="000000"/>
              </w:rPr>
            </w:pPr>
            <w:r>
              <w:rPr>
                <w:rStyle w:val="Emphasis"/>
                <w:rFonts w:cstheme="minorHAnsi"/>
                <w:i w:val="0"/>
                <w:color w:val="000000"/>
              </w:rPr>
              <w:t>CMA 03/12/07</w:t>
            </w:r>
          </w:p>
          <w:p w14:paraId="36A0C0C5" w14:textId="77777777" w:rsidR="00AC04B5" w:rsidRDefault="00AC04B5" w:rsidP="00BD5E90">
            <w:pPr>
              <w:rPr>
                <w:rStyle w:val="Emphasis"/>
                <w:rFonts w:cstheme="minorHAnsi"/>
                <w:i w:val="0"/>
                <w:color w:val="000000"/>
              </w:rPr>
            </w:pPr>
          </w:p>
          <w:p w14:paraId="50102087" w14:textId="77777777" w:rsidR="00AC04B5" w:rsidRDefault="00AC04B5" w:rsidP="00BD5E90">
            <w:pPr>
              <w:rPr>
                <w:rStyle w:val="Emphasis"/>
                <w:rFonts w:cstheme="minorHAnsi"/>
                <w:i w:val="0"/>
                <w:color w:val="000000"/>
              </w:rPr>
            </w:pPr>
            <w:r>
              <w:rPr>
                <w:rStyle w:val="Emphasis"/>
                <w:rFonts w:cstheme="minorHAnsi"/>
                <w:i w:val="0"/>
                <w:color w:val="000000"/>
              </w:rPr>
              <w:t>Full MA 15/01/15</w:t>
            </w:r>
          </w:p>
          <w:p w14:paraId="15BCC884" w14:textId="77777777" w:rsidR="00AC04B5" w:rsidRDefault="00AC04B5" w:rsidP="00BD5E90">
            <w:pPr>
              <w:rPr>
                <w:rStyle w:val="Emphasis"/>
                <w:rFonts w:cstheme="minorHAnsi"/>
                <w:i w:val="0"/>
                <w:color w:val="000000"/>
              </w:rPr>
            </w:pPr>
          </w:p>
          <w:p w14:paraId="066531E5" w14:textId="77777777" w:rsidR="00AC04B5" w:rsidRPr="00AC04B5" w:rsidRDefault="00AC04B5" w:rsidP="00BD5E90">
            <w:pPr>
              <w:rPr>
                <w:rStyle w:val="Emphasis"/>
                <w:rFonts w:cstheme="minorHAnsi"/>
                <w:i w:val="0"/>
                <w:color w:val="000000"/>
              </w:rPr>
            </w:pPr>
          </w:p>
        </w:tc>
        <w:tc>
          <w:tcPr>
            <w:tcW w:w="3093" w:type="dxa"/>
          </w:tcPr>
          <w:p w14:paraId="7337CBAC" w14:textId="77777777" w:rsidR="00305BCD" w:rsidRDefault="00AC04B5" w:rsidP="00BD5E90">
            <w:r>
              <w:t>[M]onotherapy for the treatment of patients with EGFR expressing metastatic colorectal carcinoma with non-mutated (wild-type) KRAS after failure of fluoropyrimidine-, oxaliplatin-, and irinotecan-containing chemotherapy regimens</w:t>
            </w:r>
          </w:p>
        </w:tc>
        <w:tc>
          <w:tcPr>
            <w:tcW w:w="3926" w:type="dxa"/>
          </w:tcPr>
          <w:p w14:paraId="3E8D6924" w14:textId="77777777" w:rsidR="00AC04B5" w:rsidRDefault="00AC04B5" w:rsidP="00AC04B5">
            <w:r>
              <w:t>No Public Assessment Report, used Scientific Discussion report.</w:t>
            </w:r>
          </w:p>
          <w:p w14:paraId="52075408" w14:textId="77777777" w:rsidR="00305BCD" w:rsidRDefault="00305BCD" w:rsidP="00BD5E90"/>
          <w:p w14:paraId="7E2F9B75" w14:textId="77777777" w:rsidR="00AC04B5" w:rsidRDefault="00AC04B5" w:rsidP="00BD5E90">
            <w:r>
              <w:t>20020408 Phase III Pivotal: Progression free survival</w:t>
            </w:r>
          </w:p>
          <w:p w14:paraId="036BCE92" w14:textId="77777777" w:rsidR="00AC04B5" w:rsidRDefault="00AC04B5" w:rsidP="00BD5E90"/>
          <w:p w14:paraId="59E05C47" w14:textId="77777777" w:rsidR="00AC04B5" w:rsidRDefault="00AC04B5" w:rsidP="00BD5E90">
            <w:r>
              <w:t xml:space="preserve">20030167, 20030250, 20025405 Phase II Supportive: Objective tumour response </w:t>
            </w:r>
          </w:p>
          <w:p w14:paraId="0F40F433" w14:textId="77777777" w:rsidR="00AC04B5" w:rsidRDefault="00AC04B5" w:rsidP="00BD5E90"/>
        </w:tc>
        <w:tc>
          <w:tcPr>
            <w:tcW w:w="1932" w:type="dxa"/>
          </w:tcPr>
          <w:p w14:paraId="49E50B4A" w14:textId="77777777" w:rsidR="00305BCD" w:rsidRDefault="00AC04B5" w:rsidP="00BD5E90">
            <w:r>
              <w:t>Yes:</w:t>
            </w:r>
          </w:p>
          <w:p w14:paraId="72EEE9A6" w14:textId="77777777" w:rsidR="00AC04B5" w:rsidRDefault="00AC04B5" w:rsidP="00BD5E90"/>
          <w:p w14:paraId="5286885A" w14:textId="77777777" w:rsidR="00AC04B5" w:rsidRDefault="00AC04B5" w:rsidP="00BD5E90">
            <w:r>
              <w:t>Progression-free survival (pivotal)</w:t>
            </w:r>
          </w:p>
          <w:p w14:paraId="0E29D910" w14:textId="77777777" w:rsidR="00AC04B5" w:rsidRDefault="00AC04B5" w:rsidP="00BD5E90"/>
          <w:p w14:paraId="7678F1A8" w14:textId="77777777" w:rsidR="00AC04B5" w:rsidRDefault="00AC04B5" w:rsidP="00BD5E90">
            <w:r>
              <w:t>Objective tumour response</w:t>
            </w:r>
          </w:p>
          <w:p w14:paraId="18DBB8BD" w14:textId="77777777" w:rsidR="00AC04B5" w:rsidRDefault="00AC04B5" w:rsidP="00BD5E90"/>
          <w:p w14:paraId="404AE421" w14:textId="77777777" w:rsidR="00AC04B5" w:rsidRDefault="00AC04B5" w:rsidP="00BD5E90"/>
        </w:tc>
      </w:tr>
      <w:tr w:rsidR="00305BCD" w14:paraId="2F94BFCF" w14:textId="77777777" w:rsidTr="009C0297">
        <w:tc>
          <w:tcPr>
            <w:tcW w:w="2673" w:type="dxa"/>
          </w:tcPr>
          <w:p w14:paraId="77BAE49B" w14:textId="77777777" w:rsidR="00305BCD" w:rsidRDefault="004B3B99" w:rsidP="00BD5E90">
            <w:pPr>
              <w:rPr>
                <w:rStyle w:val="Emphasis"/>
                <w:rFonts w:cstheme="minorHAnsi"/>
                <w:b/>
                <w:i w:val="0"/>
                <w:color w:val="000000"/>
              </w:rPr>
            </w:pPr>
            <w:r>
              <w:rPr>
                <w:rStyle w:val="Emphasis"/>
                <w:rFonts w:cstheme="minorHAnsi"/>
                <w:b/>
                <w:i w:val="0"/>
                <w:color w:val="000000"/>
              </w:rPr>
              <w:t>sunitinib</w:t>
            </w:r>
          </w:p>
          <w:p w14:paraId="57E0FA81" w14:textId="77777777" w:rsidR="004B3B99" w:rsidRDefault="004B3B99" w:rsidP="00BD5E90">
            <w:pPr>
              <w:rPr>
                <w:rStyle w:val="Emphasis"/>
                <w:rFonts w:cstheme="minorHAnsi"/>
                <w:b/>
                <w:i w:val="0"/>
                <w:color w:val="000000"/>
              </w:rPr>
            </w:pPr>
          </w:p>
          <w:p w14:paraId="6CF70BCA" w14:textId="77777777" w:rsidR="004B3B99" w:rsidRDefault="004B3B99" w:rsidP="00BD5E90">
            <w:pPr>
              <w:rPr>
                <w:rStyle w:val="Emphasis"/>
                <w:rFonts w:cstheme="minorHAnsi"/>
                <w:i w:val="0"/>
                <w:color w:val="000000"/>
              </w:rPr>
            </w:pPr>
            <w:r>
              <w:rPr>
                <w:rStyle w:val="Emphasis"/>
                <w:rFonts w:cstheme="minorHAnsi"/>
                <w:i w:val="0"/>
                <w:color w:val="000000"/>
              </w:rPr>
              <w:t xml:space="preserve">Sutent </w:t>
            </w:r>
          </w:p>
          <w:p w14:paraId="5C8C37EC" w14:textId="77777777" w:rsidR="004B3B99" w:rsidRDefault="004B3B99" w:rsidP="00BD5E90">
            <w:pPr>
              <w:rPr>
                <w:rStyle w:val="Emphasis"/>
                <w:rFonts w:cstheme="minorHAnsi"/>
                <w:i w:val="0"/>
                <w:color w:val="000000"/>
              </w:rPr>
            </w:pPr>
          </w:p>
          <w:p w14:paraId="0A4A362C" w14:textId="77777777" w:rsidR="004B3B99" w:rsidRDefault="004B3B99" w:rsidP="00BD5E90">
            <w:pPr>
              <w:rPr>
                <w:rStyle w:val="Emphasis"/>
                <w:rFonts w:cstheme="minorHAnsi"/>
                <w:i w:val="0"/>
                <w:color w:val="000000"/>
              </w:rPr>
            </w:pPr>
            <w:r>
              <w:rPr>
                <w:rStyle w:val="Emphasis"/>
                <w:rFonts w:cstheme="minorHAnsi"/>
                <w:i w:val="0"/>
                <w:color w:val="000000"/>
              </w:rPr>
              <w:t>CMA 19/07/06</w:t>
            </w:r>
          </w:p>
          <w:p w14:paraId="5C0CFCDD" w14:textId="77777777" w:rsidR="004B3B99" w:rsidRDefault="004B3B99" w:rsidP="00BD5E90">
            <w:pPr>
              <w:rPr>
                <w:rStyle w:val="Emphasis"/>
                <w:rFonts w:cstheme="minorHAnsi"/>
                <w:i w:val="0"/>
                <w:color w:val="000000"/>
              </w:rPr>
            </w:pPr>
          </w:p>
          <w:p w14:paraId="794DA40A" w14:textId="77777777" w:rsidR="004B3B99" w:rsidRDefault="004B3B99" w:rsidP="00BD5E90">
            <w:pPr>
              <w:rPr>
                <w:rStyle w:val="Emphasis"/>
                <w:rFonts w:cstheme="minorHAnsi"/>
                <w:i w:val="0"/>
                <w:color w:val="000000"/>
              </w:rPr>
            </w:pPr>
            <w:r>
              <w:rPr>
                <w:rStyle w:val="Emphasis"/>
                <w:rFonts w:cstheme="minorHAnsi"/>
                <w:i w:val="0"/>
                <w:color w:val="000000"/>
              </w:rPr>
              <w:lastRenderedPageBreak/>
              <w:t>Full MA 11/01/07</w:t>
            </w:r>
          </w:p>
          <w:p w14:paraId="329B1A35" w14:textId="77777777" w:rsidR="004B3B99" w:rsidRDefault="004B3B99" w:rsidP="00BD5E90">
            <w:pPr>
              <w:rPr>
                <w:rStyle w:val="Emphasis"/>
                <w:rFonts w:cstheme="minorHAnsi"/>
                <w:i w:val="0"/>
                <w:color w:val="000000"/>
              </w:rPr>
            </w:pPr>
          </w:p>
          <w:p w14:paraId="03491F6D" w14:textId="77777777" w:rsidR="004B3B99" w:rsidRPr="004B3B99" w:rsidRDefault="004B3B99" w:rsidP="00BD5E90">
            <w:pPr>
              <w:rPr>
                <w:rStyle w:val="Emphasis"/>
                <w:rFonts w:cstheme="minorHAnsi"/>
                <w:i w:val="0"/>
                <w:color w:val="000000"/>
              </w:rPr>
            </w:pPr>
          </w:p>
        </w:tc>
        <w:tc>
          <w:tcPr>
            <w:tcW w:w="3093" w:type="dxa"/>
          </w:tcPr>
          <w:p w14:paraId="2747469B" w14:textId="77777777" w:rsidR="00305BCD" w:rsidRDefault="00F70954" w:rsidP="00BD5E90">
            <w:r>
              <w:lastRenderedPageBreak/>
              <w:t xml:space="preserve">[T]reatment of unresectable and/or metastatic malignant gastrointestinal stromal tumour after failure of imatinib mesylate treatment due to resistance or intolerance, and in </w:t>
            </w:r>
            <w:r>
              <w:lastRenderedPageBreak/>
              <w:t>the treatment of advanced and/or metastatic metastatic renal cell carcinoma after failure of cytokine-based therapy</w:t>
            </w:r>
          </w:p>
        </w:tc>
        <w:tc>
          <w:tcPr>
            <w:tcW w:w="3926" w:type="dxa"/>
          </w:tcPr>
          <w:p w14:paraId="746C7004" w14:textId="77777777" w:rsidR="004B3B99" w:rsidRDefault="004B3B99" w:rsidP="004B3B99">
            <w:r>
              <w:lastRenderedPageBreak/>
              <w:t>No Public Assessment Report, used Scientific Discussion report.</w:t>
            </w:r>
          </w:p>
          <w:p w14:paraId="7F1233C6" w14:textId="77777777" w:rsidR="00417650" w:rsidRDefault="00417650" w:rsidP="004B3B99"/>
          <w:p w14:paraId="7859298A" w14:textId="77777777" w:rsidR="00417650" w:rsidRDefault="00417650" w:rsidP="004B3B99">
            <w:r>
              <w:t>GIST</w:t>
            </w:r>
          </w:p>
          <w:p w14:paraId="0F9B81A8" w14:textId="77777777" w:rsidR="00417650" w:rsidRDefault="00417650" w:rsidP="004B3B99"/>
          <w:p w14:paraId="5BC9BA82" w14:textId="77777777" w:rsidR="00417650" w:rsidRDefault="00417650" w:rsidP="004B3B99">
            <w:r>
              <w:lastRenderedPageBreak/>
              <w:t>A6181004 Phase III Pivotal: For the pivotal trial, Study A6181004, TTP was the primary endpoint, defined as the time from the first dose of study medication to first documentation of PD.</w:t>
            </w:r>
          </w:p>
          <w:p w14:paraId="6504FB12" w14:textId="77777777" w:rsidR="00305BCD" w:rsidRDefault="00305BCD" w:rsidP="00BD5E90"/>
          <w:p w14:paraId="0B20C652" w14:textId="77777777" w:rsidR="00417650" w:rsidRDefault="00417650" w:rsidP="00BD5E90">
            <w:r>
              <w:t>RTKC-0511-013 Phase I/II Supportive: Primary were safety</w:t>
            </w:r>
          </w:p>
          <w:p w14:paraId="0364F708" w14:textId="77777777" w:rsidR="00417650" w:rsidRDefault="00417650" w:rsidP="00BD5E90"/>
          <w:p w14:paraId="5365AD12" w14:textId="77777777" w:rsidR="00417650" w:rsidRDefault="00417650" w:rsidP="00BD5E90">
            <w:r>
              <w:t>MRCC</w:t>
            </w:r>
          </w:p>
          <w:p w14:paraId="7EAD6A18" w14:textId="77777777" w:rsidR="00417650" w:rsidRDefault="00417650" w:rsidP="00BD5E90"/>
          <w:p w14:paraId="5DCC23C3" w14:textId="77777777" w:rsidR="00417650" w:rsidRDefault="00417650" w:rsidP="00BD5E90">
            <w:r>
              <w:t>A6181006 Phase II Pivotal: The primary endpoint for the studies was ORR.</w:t>
            </w:r>
          </w:p>
          <w:p w14:paraId="7B84D238" w14:textId="77777777" w:rsidR="00417650" w:rsidRDefault="00417650" w:rsidP="00BD5E90"/>
          <w:p w14:paraId="31819B24" w14:textId="77777777" w:rsidR="00417650" w:rsidRDefault="00417650" w:rsidP="00BD5E90">
            <w:r>
              <w:t>RTKC-0511-014 Phase II Supportive: Sa</w:t>
            </w:r>
            <w:r w:rsidR="004B591B">
              <w:t>me as above.</w:t>
            </w:r>
          </w:p>
          <w:p w14:paraId="54298407" w14:textId="77777777" w:rsidR="004B3B99" w:rsidRDefault="004B3B99" w:rsidP="00BD5E90"/>
        </w:tc>
        <w:tc>
          <w:tcPr>
            <w:tcW w:w="1932" w:type="dxa"/>
          </w:tcPr>
          <w:p w14:paraId="57BAD31D" w14:textId="77777777" w:rsidR="00305BCD" w:rsidRDefault="004B591B" w:rsidP="00BD5E90">
            <w:r>
              <w:lastRenderedPageBreak/>
              <w:t>Yes:</w:t>
            </w:r>
          </w:p>
          <w:p w14:paraId="3541DFD2" w14:textId="77777777" w:rsidR="004B591B" w:rsidRDefault="004B591B" w:rsidP="00BD5E90"/>
          <w:p w14:paraId="3B343E6D" w14:textId="77777777" w:rsidR="004B591B" w:rsidRDefault="004B591B" w:rsidP="00BD5E90">
            <w:r>
              <w:t>For GIST: time to progression (pivotal)</w:t>
            </w:r>
          </w:p>
          <w:p w14:paraId="5E4BABD8" w14:textId="77777777" w:rsidR="004B591B" w:rsidRDefault="004B591B" w:rsidP="00BD5E90"/>
          <w:p w14:paraId="180C6BEA" w14:textId="77777777" w:rsidR="004B591B" w:rsidRDefault="004B591B" w:rsidP="00BD5E90">
            <w:r>
              <w:lastRenderedPageBreak/>
              <w:t>For MRCC: objective response rate (pivotal)</w:t>
            </w:r>
          </w:p>
        </w:tc>
      </w:tr>
      <w:tr w:rsidR="00305BCD" w14:paraId="53574EB0" w14:textId="77777777" w:rsidTr="009C0297">
        <w:tc>
          <w:tcPr>
            <w:tcW w:w="2673" w:type="dxa"/>
          </w:tcPr>
          <w:p w14:paraId="788F2CD5" w14:textId="77777777" w:rsidR="00305BCD" w:rsidRDefault="0068346E" w:rsidP="00BD5E90">
            <w:pPr>
              <w:rPr>
                <w:rStyle w:val="Emphasis"/>
                <w:rFonts w:cstheme="minorHAnsi"/>
                <w:b/>
                <w:i w:val="0"/>
                <w:color w:val="000000"/>
              </w:rPr>
            </w:pPr>
            <w:r>
              <w:rPr>
                <w:rStyle w:val="Emphasis"/>
                <w:rFonts w:cstheme="minorHAnsi"/>
                <w:b/>
                <w:i w:val="0"/>
                <w:color w:val="000000"/>
              </w:rPr>
              <w:lastRenderedPageBreak/>
              <w:t>everolimus</w:t>
            </w:r>
          </w:p>
          <w:p w14:paraId="27B7CFE8" w14:textId="77777777" w:rsidR="0068346E" w:rsidRDefault="0068346E" w:rsidP="00BD5E90">
            <w:pPr>
              <w:rPr>
                <w:rStyle w:val="Emphasis"/>
                <w:rFonts w:cstheme="minorHAnsi"/>
                <w:b/>
                <w:i w:val="0"/>
                <w:color w:val="000000"/>
              </w:rPr>
            </w:pPr>
          </w:p>
          <w:p w14:paraId="51AFB9BE" w14:textId="77777777" w:rsidR="0068346E" w:rsidRDefault="0068346E" w:rsidP="00BD5E90">
            <w:pPr>
              <w:rPr>
                <w:rStyle w:val="Emphasis"/>
                <w:rFonts w:cstheme="minorHAnsi"/>
                <w:i w:val="0"/>
                <w:color w:val="000000"/>
              </w:rPr>
            </w:pPr>
            <w:r>
              <w:rPr>
                <w:rStyle w:val="Emphasis"/>
                <w:rFonts w:cstheme="minorHAnsi"/>
                <w:i w:val="0"/>
                <w:color w:val="000000"/>
              </w:rPr>
              <w:t>Votubia</w:t>
            </w:r>
          </w:p>
          <w:p w14:paraId="5D758C48" w14:textId="77777777" w:rsidR="0068346E" w:rsidRDefault="0068346E" w:rsidP="00BD5E90">
            <w:pPr>
              <w:rPr>
                <w:rStyle w:val="Emphasis"/>
                <w:rFonts w:cstheme="minorHAnsi"/>
                <w:i w:val="0"/>
                <w:color w:val="000000"/>
              </w:rPr>
            </w:pPr>
          </w:p>
          <w:p w14:paraId="01939355" w14:textId="77777777" w:rsidR="0068346E" w:rsidRDefault="0068346E" w:rsidP="00BD5E90">
            <w:pPr>
              <w:rPr>
                <w:rStyle w:val="Emphasis"/>
                <w:rFonts w:cstheme="minorHAnsi"/>
                <w:i w:val="0"/>
                <w:color w:val="000000"/>
              </w:rPr>
            </w:pPr>
            <w:r>
              <w:rPr>
                <w:rStyle w:val="Emphasis"/>
                <w:rFonts w:cstheme="minorHAnsi"/>
                <w:i w:val="0"/>
                <w:color w:val="000000"/>
              </w:rPr>
              <w:t>CMA 02/09/11</w:t>
            </w:r>
          </w:p>
          <w:p w14:paraId="1587C9F2" w14:textId="77777777" w:rsidR="0068346E" w:rsidRDefault="0068346E" w:rsidP="00BD5E90">
            <w:pPr>
              <w:rPr>
                <w:rStyle w:val="Emphasis"/>
                <w:rFonts w:cstheme="minorHAnsi"/>
                <w:i w:val="0"/>
                <w:color w:val="000000"/>
              </w:rPr>
            </w:pPr>
          </w:p>
          <w:p w14:paraId="155B06E2" w14:textId="77777777" w:rsidR="0068346E" w:rsidRDefault="0068346E" w:rsidP="00BD5E90">
            <w:pPr>
              <w:rPr>
                <w:rStyle w:val="Emphasis"/>
                <w:rFonts w:cstheme="minorHAnsi"/>
                <w:i w:val="0"/>
                <w:color w:val="000000"/>
              </w:rPr>
            </w:pPr>
            <w:r>
              <w:rPr>
                <w:rStyle w:val="Emphasis"/>
                <w:rFonts w:cstheme="minorHAnsi"/>
                <w:i w:val="0"/>
                <w:color w:val="000000"/>
              </w:rPr>
              <w:t>Full MA 16/11/15</w:t>
            </w:r>
          </w:p>
          <w:p w14:paraId="6023D365" w14:textId="77777777" w:rsidR="0068346E" w:rsidRDefault="0068346E" w:rsidP="00BD5E90">
            <w:pPr>
              <w:rPr>
                <w:rStyle w:val="Emphasis"/>
                <w:rFonts w:cstheme="minorHAnsi"/>
                <w:i w:val="0"/>
                <w:color w:val="000000"/>
              </w:rPr>
            </w:pPr>
          </w:p>
          <w:p w14:paraId="5971B03B" w14:textId="77777777" w:rsidR="0068346E" w:rsidRPr="0068346E" w:rsidRDefault="0068346E" w:rsidP="00BD5E90">
            <w:pPr>
              <w:rPr>
                <w:rStyle w:val="Emphasis"/>
                <w:rFonts w:cstheme="minorHAnsi"/>
                <w:i w:val="0"/>
                <w:color w:val="000000"/>
              </w:rPr>
            </w:pPr>
            <w:r>
              <w:t>EMA/646111/2011</w:t>
            </w:r>
          </w:p>
        </w:tc>
        <w:tc>
          <w:tcPr>
            <w:tcW w:w="3093" w:type="dxa"/>
          </w:tcPr>
          <w:p w14:paraId="7982A431" w14:textId="77777777" w:rsidR="00305BCD" w:rsidRDefault="0068346E" w:rsidP="00BD5E90">
            <w:r>
              <w:t>[T]reatment of patients aged 3 years and older with subependymal giant cell astrocytoma (SEGA) associated with tuberous sclerosis complex (TSC) who require therapeutic intervention but are not amenable to surgery</w:t>
            </w:r>
          </w:p>
        </w:tc>
        <w:tc>
          <w:tcPr>
            <w:tcW w:w="3926" w:type="dxa"/>
          </w:tcPr>
          <w:p w14:paraId="23E1E70F" w14:textId="77777777" w:rsidR="00305BCD" w:rsidRDefault="0068346E" w:rsidP="00BD5E90">
            <w:r>
              <w:t>RAD001 Phase II Pivotal: The primary efficacy endpoint was the change from baseline in volume of the primary SEGA lesion at 6 months after the start of treatment (or at the last available assessment if a patient ended treatment prior to this timepoint) as determined by central radiology review.</w:t>
            </w:r>
          </w:p>
          <w:p w14:paraId="2C69FCA6" w14:textId="77777777" w:rsidR="0068346E" w:rsidRDefault="0068346E" w:rsidP="00BD5E90"/>
          <w:p w14:paraId="790E29BE" w14:textId="77777777" w:rsidR="0068346E" w:rsidRDefault="0068346E" w:rsidP="00BD5E90">
            <w:r>
              <w:t>M2301 Phase III Supportive: The primary efficacy endpoint was the SEGA response rate as defined as the proportion of patients with a best overall SEGA response as per Independent Central Radiological Review</w:t>
            </w:r>
          </w:p>
        </w:tc>
        <w:tc>
          <w:tcPr>
            <w:tcW w:w="1932" w:type="dxa"/>
          </w:tcPr>
          <w:p w14:paraId="2F645C21" w14:textId="77777777" w:rsidR="00305BCD" w:rsidRDefault="0068346E" w:rsidP="00BD5E90">
            <w:r>
              <w:t>Yes:</w:t>
            </w:r>
          </w:p>
          <w:p w14:paraId="382F2C70" w14:textId="77777777" w:rsidR="0068346E" w:rsidRDefault="0068346E" w:rsidP="00BD5E90"/>
          <w:p w14:paraId="04C8A559" w14:textId="77777777" w:rsidR="0068346E" w:rsidRDefault="0068346E" w:rsidP="00BD5E90">
            <w:r>
              <w:t>Change in SEGA volume (pivotal)</w:t>
            </w:r>
          </w:p>
          <w:p w14:paraId="207C06F3" w14:textId="77777777" w:rsidR="0068346E" w:rsidRDefault="0068346E" w:rsidP="00BD5E90"/>
          <w:p w14:paraId="512353EB" w14:textId="77777777" w:rsidR="0068346E" w:rsidRDefault="0068346E" w:rsidP="00BD5E90">
            <w:r>
              <w:t>SEGA response rate</w:t>
            </w:r>
          </w:p>
        </w:tc>
      </w:tr>
      <w:tr w:rsidR="00305BCD" w14:paraId="5CEBC4D4" w14:textId="77777777" w:rsidTr="009C0297">
        <w:tc>
          <w:tcPr>
            <w:tcW w:w="2673" w:type="dxa"/>
          </w:tcPr>
          <w:p w14:paraId="57729A7D" w14:textId="77777777" w:rsidR="00305BCD" w:rsidRDefault="0068346E" w:rsidP="00BD5E90">
            <w:pPr>
              <w:rPr>
                <w:rStyle w:val="Emphasis"/>
                <w:rFonts w:cstheme="minorHAnsi"/>
                <w:b/>
                <w:i w:val="0"/>
                <w:color w:val="000000"/>
              </w:rPr>
            </w:pPr>
            <w:r>
              <w:rPr>
                <w:rStyle w:val="Emphasis"/>
                <w:rFonts w:cstheme="minorHAnsi"/>
                <w:b/>
                <w:i w:val="0"/>
                <w:color w:val="000000"/>
              </w:rPr>
              <w:t>daratumumab</w:t>
            </w:r>
          </w:p>
          <w:p w14:paraId="629DA478" w14:textId="77777777" w:rsidR="0068346E" w:rsidRDefault="0068346E" w:rsidP="00BD5E90">
            <w:pPr>
              <w:rPr>
                <w:rStyle w:val="Emphasis"/>
                <w:rFonts w:cstheme="minorHAnsi"/>
                <w:b/>
                <w:i w:val="0"/>
                <w:color w:val="000000"/>
              </w:rPr>
            </w:pPr>
          </w:p>
          <w:p w14:paraId="54BB817C" w14:textId="77777777" w:rsidR="0068346E" w:rsidRDefault="0068346E" w:rsidP="00BD5E90">
            <w:pPr>
              <w:rPr>
                <w:rStyle w:val="Emphasis"/>
                <w:rFonts w:cstheme="minorHAnsi"/>
                <w:i w:val="0"/>
                <w:color w:val="000000"/>
              </w:rPr>
            </w:pPr>
            <w:r>
              <w:rPr>
                <w:rStyle w:val="Emphasis"/>
                <w:rFonts w:cstheme="minorHAnsi"/>
                <w:i w:val="0"/>
                <w:color w:val="000000"/>
              </w:rPr>
              <w:t>Darzalex</w:t>
            </w:r>
          </w:p>
          <w:p w14:paraId="38634F7C" w14:textId="77777777" w:rsidR="0068346E" w:rsidRDefault="0068346E" w:rsidP="00BD5E90">
            <w:pPr>
              <w:rPr>
                <w:rStyle w:val="Emphasis"/>
                <w:rFonts w:cstheme="minorHAnsi"/>
                <w:i w:val="0"/>
                <w:color w:val="000000"/>
              </w:rPr>
            </w:pPr>
          </w:p>
          <w:p w14:paraId="54ED0EEE" w14:textId="77777777" w:rsidR="0068346E" w:rsidRDefault="0068346E" w:rsidP="00BD5E90">
            <w:pPr>
              <w:rPr>
                <w:rStyle w:val="Emphasis"/>
                <w:rFonts w:cstheme="minorHAnsi"/>
                <w:i w:val="0"/>
                <w:color w:val="000000"/>
              </w:rPr>
            </w:pPr>
            <w:r>
              <w:rPr>
                <w:rStyle w:val="Emphasis"/>
                <w:rFonts w:cstheme="minorHAnsi"/>
                <w:i w:val="0"/>
                <w:color w:val="000000"/>
              </w:rPr>
              <w:t>CMA 20/05/16</w:t>
            </w:r>
          </w:p>
          <w:p w14:paraId="256293DC" w14:textId="77777777" w:rsidR="0068346E" w:rsidRDefault="0068346E" w:rsidP="00BD5E90">
            <w:pPr>
              <w:rPr>
                <w:rStyle w:val="Emphasis"/>
                <w:rFonts w:cstheme="minorHAnsi"/>
                <w:i w:val="0"/>
                <w:color w:val="000000"/>
              </w:rPr>
            </w:pPr>
          </w:p>
          <w:p w14:paraId="51CF18C4" w14:textId="77777777" w:rsidR="0068346E" w:rsidRDefault="0068346E" w:rsidP="00BD5E90">
            <w:pPr>
              <w:rPr>
                <w:rStyle w:val="Emphasis"/>
                <w:rFonts w:cstheme="minorHAnsi"/>
                <w:i w:val="0"/>
                <w:color w:val="000000"/>
              </w:rPr>
            </w:pPr>
            <w:r>
              <w:rPr>
                <w:rStyle w:val="Emphasis"/>
                <w:rFonts w:cstheme="minorHAnsi"/>
                <w:i w:val="0"/>
                <w:color w:val="000000"/>
              </w:rPr>
              <w:t>Full MA 28/04/17</w:t>
            </w:r>
          </w:p>
          <w:p w14:paraId="10F5F9BD" w14:textId="77777777" w:rsidR="0068346E" w:rsidRDefault="0068346E" w:rsidP="00BD5E90">
            <w:pPr>
              <w:rPr>
                <w:rStyle w:val="Emphasis"/>
                <w:rFonts w:cstheme="minorHAnsi"/>
                <w:i w:val="0"/>
                <w:color w:val="000000"/>
              </w:rPr>
            </w:pPr>
          </w:p>
          <w:p w14:paraId="477A75AA" w14:textId="77777777" w:rsidR="0068346E" w:rsidRPr="0068346E" w:rsidRDefault="0068346E" w:rsidP="00BD5E90">
            <w:pPr>
              <w:rPr>
                <w:rStyle w:val="Emphasis"/>
                <w:rFonts w:cstheme="minorHAnsi"/>
                <w:i w:val="0"/>
                <w:color w:val="000000"/>
              </w:rPr>
            </w:pPr>
            <w:r>
              <w:t>EMA/278085/2016</w:t>
            </w:r>
          </w:p>
        </w:tc>
        <w:tc>
          <w:tcPr>
            <w:tcW w:w="3093" w:type="dxa"/>
          </w:tcPr>
          <w:p w14:paraId="4000E8D4" w14:textId="77777777" w:rsidR="00305BCD" w:rsidRDefault="0068346E" w:rsidP="0068346E">
            <w:r>
              <w:t>[T]reatment of adult patients with relapsed and refractory multiple myeloma, whose prior therapy included a proteasome inhibitor and an immunomodulatory agent and who have demonstrated disease progression on the last therapy</w:t>
            </w:r>
          </w:p>
        </w:tc>
        <w:tc>
          <w:tcPr>
            <w:tcW w:w="3926" w:type="dxa"/>
          </w:tcPr>
          <w:p w14:paraId="7DF0E055" w14:textId="77777777" w:rsidR="00305BCD" w:rsidRDefault="0068346E" w:rsidP="00BD5E90">
            <w:r>
              <w:t>MMY2002 Phase II Pivotal: The primary endpoint was the overall response rate (ORR), which was defined as the proportion of subjects who achieved PR or better according to the IMWG criteria (Durie 2007, Rajkumar 2011).</w:t>
            </w:r>
          </w:p>
          <w:p w14:paraId="1CDB1C7C" w14:textId="77777777" w:rsidR="0068346E" w:rsidRDefault="0068346E" w:rsidP="00BD5E90"/>
          <w:p w14:paraId="1CE0816A" w14:textId="77777777" w:rsidR="0068346E" w:rsidRDefault="0068346E" w:rsidP="00BD5E90">
            <w:r>
              <w:t>GEN 501 Phase I/II Pivotal: The primary efficacy endpoint was overall response rate (ORR), which was defined as the proportion of patients who achieved a partial response (PR) or better. Objective response evaluations were made based on assessments from a computerized algorithm using the International Multiple Myeloma Working Group (IMWG) Response Criteria for Multiple Myeloma (Durie 2006, Rajkumar 2011).</w:t>
            </w:r>
          </w:p>
          <w:p w14:paraId="6BD1741B" w14:textId="77777777" w:rsidR="0068346E" w:rsidRDefault="0068346E" w:rsidP="00BD5E90"/>
          <w:p w14:paraId="5D601D47" w14:textId="77777777" w:rsidR="0068346E" w:rsidRDefault="0068346E" w:rsidP="00BD5E90">
            <w:r>
              <w:t>GEN503 Phase I/II Supportive: Same as above</w:t>
            </w:r>
          </w:p>
        </w:tc>
        <w:tc>
          <w:tcPr>
            <w:tcW w:w="1932" w:type="dxa"/>
          </w:tcPr>
          <w:p w14:paraId="4B50152B" w14:textId="77777777" w:rsidR="0068346E" w:rsidRDefault="0068346E" w:rsidP="0068346E">
            <w:r>
              <w:t>Yes:</w:t>
            </w:r>
          </w:p>
          <w:p w14:paraId="5A48ED6F" w14:textId="77777777" w:rsidR="0068346E" w:rsidRDefault="0068346E" w:rsidP="0068346E"/>
          <w:p w14:paraId="3AC99ADC" w14:textId="77777777" w:rsidR="0068346E" w:rsidRDefault="0068346E" w:rsidP="0068346E">
            <w:r>
              <w:t>Overall response rate (pivotal)</w:t>
            </w:r>
          </w:p>
          <w:p w14:paraId="6346B419" w14:textId="77777777" w:rsidR="0068346E" w:rsidRDefault="0068346E" w:rsidP="0068346E"/>
          <w:p w14:paraId="2A781C8B" w14:textId="77777777" w:rsidR="00305BCD" w:rsidRPr="0068346E" w:rsidRDefault="00305BCD" w:rsidP="0068346E">
            <w:pPr>
              <w:ind w:firstLine="720"/>
            </w:pPr>
          </w:p>
        </w:tc>
      </w:tr>
      <w:tr w:rsidR="00305BCD" w14:paraId="2984793E" w14:textId="77777777" w:rsidTr="009C0297">
        <w:tc>
          <w:tcPr>
            <w:tcW w:w="2673" w:type="dxa"/>
          </w:tcPr>
          <w:p w14:paraId="5BEAEC07" w14:textId="77777777" w:rsidR="00305BCD" w:rsidRDefault="0068346E" w:rsidP="00BD5E90">
            <w:pPr>
              <w:rPr>
                <w:rStyle w:val="Emphasis"/>
                <w:rFonts w:cstheme="minorHAnsi"/>
                <w:b/>
                <w:i w:val="0"/>
                <w:color w:val="000000"/>
              </w:rPr>
            </w:pPr>
            <w:r>
              <w:rPr>
                <w:rStyle w:val="Emphasis"/>
                <w:rFonts w:cstheme="minorHAnsi"/>
                <w:b/>
                <w:i w:val="0"/>
                <w:color w:val="000000"/>
              </w:rPr>
              <w:t>etravirine</w:t>
            </w:r>
          </w:p>
          <w:p w14:paraId="5E6DC1C7" w14:textId="77777777" w:rsidR="0068346E" w:rsidRDefault="0068346E" w:rsidP="00BD5E90">
            <w:pPr>
              <w:rPr>
                <w:rStyle w:val="Emphasis"/>
                <w:rFonts w:cstheme="minorHAnsi"/>
                <w:b/>
                <w:i w:val="0"/>
                <w:color w:val="000000"/>
              </w:rPr>
            </w:pPr>
          </w:p>
          <w:p w14:paraId="33AFC516" w14:textId="77777777" w:rsidR="0068346E" w:rsidRDefault="0068346E" w:rsidP="00BD5E90">
            <w:pPr>
              <w:rPr>
                <w:rStyle w:val="Emphasis"/>
                <w:rFonts w:cstheme="minorHAnsi"/>
                <w:i w:val="0"/>
                <w:color w:val="000000"/>
              </w:rPr>
            </w:pPr>
            <w:r>
              <w:rPr>
                <w:rStyle w:val="Emphasis"/>
                <w:rFonts w:cstheme="minorHAnsi"/>
                <w:i w:val="0"/>
                <w:color w:val="000000"/>
              </w:rPr>
              <w:t>Intelence</w:t>
            </w:r>
          </w:p>
          <w:p w14:paraId="7928B601" w14:textId="77777777" w:rsidR="0068346E" w:rsidRDefault="0068346E" w:rsidP="00BD5E90">
            <w:pPr>
              <w:rPr>
                <w:rStyle w:val="Emphasis"/>
                <w:rFonts w:cstheme="minorHAnsi"/>
                <w:i w:val="0"/>
                <w:color w:val="000000"/>
              </w:rPr>
            </w:pPr>
          </w:p>
          <w:p w14:paraId="29DB3C7A" w14:textId="77777777" w:rsidR="0068346E" w:rsidRDefault="0068346E" w:rsidP="00BD5E90">
            <w:pPr>
              <w:rPr>
                <w:rStyle w:val="Emphasis"/>
                <w:rFonts w:cstheme="minorHAnsi"/>
                <w:i w:val="0"/>
                <w:color w:val="000000"/>
              </w:rPr>
            </w:pPr>
            <w:r>
              <w:rPr>
                <w:rStyle w:val="Emphasis"/>
                <w:rFonts w:cstheme="minorHAnsi"/>
                <w:i w:val="0"/>
                <w:color w:val="000000"/>
              </w:rPr>
              <w:lastRenderedPageBreak/>
              <w:t>CMA 28/08/08</w:t>
            </w:r>
          </w:p>
          <w:p w14:paraId="5AABCE63" w14:textId="77777777" w:rsidR="0068346E" w:rsidRDefault="0068346E" w:rsidP="00BD5E90">
            <w:pPr>
              <w:rPr>
                <w:rStyle w:val="Emphasis"/>
                <w:rFonts w:cstheme="minorHAnsi"/>
                <w:i w:val="0"/>
                <w:color w:val="000000"/>
              </w:rPr>
            </w:pPr>
          </w:p>
          <w:p w14:paraId="0C19A367" w14:textId="77777777" w:rsidR="0068346E" w:rsidRPr="0068346E" w:rsidRDefault="0068346E" w:rsidP="00BD5E90">
            <w:pPr>
              <w:rPr>
                <w:rStyle w:val="Emphasis"/>
                <w:rFonts w:cstheme="minorHAnsi"/>
                <w:i w:val="0"/>
                <w:color w:val="000000"/>
              </w:rPr>
            </w:pPr>
            <w:r>
              <w:t>EMEA/H/C/000900</w:t>
            </w:r>
          </w:p>
        </w:tc>
        <w:tc>
          <w:tcPr>
            <w:tcW w:w="3093" w:type="dxa"/>
          </w:tcPr>
          <w:p w14:paraId="4E9E6E6C" w14:textId="77777777" w:rsidR="00305BCD" w:rsidRDefault="0068346E" w:rsidP="00BD5E90">
            <w:r>
              <w:lastRenderedPageBreak/>
              <w:t xml:space="preserve">INTELENCE, in combination with a boosted protease inhibitor and other antiretroviral medicinal products, is indicated </w:t>
            </w:r>
            <w:r>
              <w:lastRenderedPageBreak/>
              <w:t>for the treatment of human immunodeficiency virus type 1 (HIV-1) infection in antiretroviral treatment-experienced adult patients</w:t>
            </w:r>
          </w:p>
        </w:tc>
        <w:tc>
          <w:tcPr>
            <w:tcW w:w="3926" w:type="dxa"/>
          </w:tcPr>
          <w:p w14:paraId="2EFF146E" w14:textId="77777777" w:rsidR="00305BCD" w:rsidRDefault="0068346E" w:rsidP="00BD5E90">
            <w:r>
              <w:lastRenderedPageBreak/>
              <w:t>C206, C216 Phase III Pivotal: Proportion of subjects with plasma viral load i.e. &lt; 50 copies / mL at week 24</w:t>
            </w:r>
          </w:p>
          <w:p w14:paraId="0ABF88B8" w14:textId="77777777" w:rsidR="0068346E" w:rsidRDefault="0068346E" w:rsidP="00BD5E90"/>
          <w:p w14:paraId="70ECBCA1" w14:textId="77777777" w:rsidR="0068346E" w:rsidRDefault="0068346E" w:rsidP="0068346E">
            <w:r>
              <w:lastRenderedPageBreak/>
              <w:t xml:space="preserve">C203 Phase IIb Supportive: Primary was safety </w:t>
            </w:r>
          </w:p>
          <w:p w14:paraId="450D58C2" w14:textId="77777777" w:rsidR="0068346E" w:rsidRDefault="0068346E" w:rsidP="0068346E"/>
          <w:p w14:paraId="2C12F673" w14:textId="77777777" w:rsidR="0068346E" w:rsidRDefault="0068346E" w:rsidP="0068346E">
            <w:r>
              <w:t>C223 Phase IIb Supportive: Change in log10 plasma viral load at Week 24</w:t>
            </w:r>
          </w:p>
        </w:tc>
        <w:tc>
          <w:tcPr>
            <w:tcW w:w="1932" w:type="dxa"/>
          </w:tcPr>
          <w:p w14:paraId="6E8569CC" w14:textId="77777777" w:rsidR="00305BCD" w:rsidRDefault="0068346E" w:rsidP="00BD5E90">
            <w:r>
              <w:lastRenderedPageBreak/>
              <w:t>Yes:</w:t>
            </w:r>
          </w:p>
          <w:p w14:paraId="0F38B704" w14:textId="77777777" w:rsidR="0068346E" w:rsidRDefault="0068346E" w:rsidP="00BD5E90"/>
          <w:p w14:paraId="0DD1CA54" w14:textId="77777777" w:rsidR="0068346E" w:rsidRDefault="0068346E" w:rsidP="00BD5E90">
            <w:r>
              <w:t xml:space="preserve">Proportion with viral load &lt;50 </w:t>
            </w:r>
            <w:r>
              <w:lastRenderedPageBreak/>
              <w:t>copies/mL (pivotal)</w:t>
            </w:r>
          </w:p>
          <w:p w14:paraId="444BC2FF" w14:textId="77777777" w:rsidR="0068346E" w:rsidRDefault="0068346E" w:rsidP="00BD5E90">
            <w:r>
              <w:br/>
              <w:t>Change in log plasma viral load</w:t>
            </w:r>
          </w:p>
        </w:tc>
      </w:tr>
      <w:tr w:rsidR="00305BCD" w14:paraId="0EF646B4" w14:textId="77777777" w:rsidTr="009C0297">
        <w:tc>
          <w:tcPr>
            <w:tcW w:w="2673" w:type="dxa"/>
          </w:tcPr>
          <w:p w14:paraId="5A2C19BC" w14:textId="77777777" w:rsidR="00305BCD" w:rsidRDefault="006E7004" w:rsidP="00BD5E90">
            <w:pPr>
              <w:rPr>
                <w:rStyle w:val="Emphasis"/>
                <w:rFonts w:cstheme="minorHAnsi"/>
                <w:b/>
                <w:i w:val="0"/>
                <w:color w:val="000000"/>
              </w:rPr>
            </w:pPr>
            <w:r>
              <w:rPr>
                <w:rStyle w:val="Emphasis"/>
                <w:rFonts w:cstheme="minorHAnsi"/>
                <w:b/>
                <w:i w:val="0"/>
                <w:color w:val="000000"/>
              </w:rPr>
              <w:lastRenderedPageBreak/>
              <w:t>aztreonam</w:t>
            </w:r>
          </w:p>
          <w:p w14:paraId="68E435CF" w14:textId="77777777" w:rsidR="006E7004" w:rsidRDefault="006E7004" w:rsidP="00BD5E90">
            <w:pPr>
              <w:rPr>
                <w:rStyle w:val="Emphasis"/>
                <w:rFonts w:cstheme="minorHAnsi"/>
                <w:b/>
                <w:i w:val="0"/>
                <w:color w:val="000000"/>
              </w:rPr>
            </w:pPr>
          </w:p>
          <w:p w14:paraId="15F13159" w14:textId="77777777" w:rsidR="006E7004" w:rsidRDefault="006E7004" w:rsidP="00BD5E90">
            <w:pPr>
              <w:rPr>
                <w:rStyle w:val="Emphasis"/>
                <w:rFonts w:cstheme="minorHAnsi"/>
                <w:i w:val="0"/>
                <w:color w:val="000000"/>
              </w:rPr>
            </w:pPr>
            <w:r>
              <w:rPr>
                <w:rStyle w:val="Emphasis"/>
                <w:rFonts w:cstheme="minorHAnsi"/>
                <w:i w:val="0"/>
                <w:color w:val="000000"/>
              </w:rPr>
              <w:t>Cayston</w:t>
            </w:r>
          </w:p>
          <w:p w14:paraId="60FEF36E" w14:textId="77777777" w:rsidR="006E7004" w:rsidRDefault="006E7004" w:rsidP="00BD5E90">
            <w:pPr>
              <w:rPr>
                <w:rStyle w:val="Emphasis"/>
                <w:rFonts w:cstheme="minorHAnsi"/>
                <w:i w:val="0"/>
                <w:color w:val="000000"/>
              </w:rPr>
            </w:pPr>
          </w:p>
          <w:p w14:paraId="2FCDA378" w14:textId="77777777" w:rsidR="006E7004" w:rsidRDefault="006E7004" w:rsidP="00BD5E90">
            <w:pPr>
              <w:rPr>
                <w:rStyle w:val="Emphasis"/>
                <w:rFonts w:cstheme="minorHAnsi"/>
                <w:i w:val="0"/>
                <w:color w:val="000000"/>
              </w:rPr>
            </w:pPr>
            <w:r>
              <w:rPr>
                <w:rStyle w:val="Emphasis"/>
                <w:rFonts w:cstheme="minorHAnsi"/>
                <w:i w:val="0"/>
                <w:color w:val="000000"/>
              </w:rPr>
              <w:t xml:space="preserve">CMA 21/09/09* </w:t>
            </w:r>
          </w:p>
          <w:p w14:paraId="7F050AA2" w14:textId="77777777" w:rsidR="006E7004" w:rsidRDefault="006E7004" w:rsidP="00BD5E90">
            <w:pPr>
              <w:rPr>
                <w:rStyle w:val="Emphasis"/>
                <w:rFonts w:cstheme="minorHAnsi"/>
                <w:i w:val="0"/>
                <w:color w:val="000000"/>
              </w:rPr>
            </w:pPr>
          </w:p>
          <w:p w14:paraId="7F75D319" w14:textId="77777777" w:rsidR="006E7004" w:rsidRDefault="006E7004" w:rsidP="00BD5E90">
            <w:pPr>
              <w:rPr>
                <w:rStyle w:val="Emphasis"/>
                <w:rFonts w:cstheme="minorHAnsi"/>
                <w:i w:val="0"/>
                <w:color w:val="000000"/>
              </w:rPr>
            </w:pPr>
            <w:r>
              <w:rPr>
                <w:rStyle w:val="Emphasis"/>
                <w:rFonts w:cstheme="minorHAnsi"/>
                <w:i w:val="0"/>
                <w:color w:val="000000"/>
              </w:rPr>
              <w:t>*originally not granted CMA</w:t>
            </w:r>
          </w:p>
          <w:p w14:paraId="663055CC" w14:textId="77777777" w:rsidR="006E7004" w:rsidRDefault="006E7004" w:rsidP="00BD5E90">
            <w:pPr>
              <w:rPr>
                <w:rStyle w:val="Emphasis"/>
                <w:rFonts w:cstheme="minorHAnsi"/>
                <w:i w:val="0"/>
                <w:color w:val="000000"/>
              </w:rPr>
            </w:pPr>
          </w:p>
          <w:p w14:paraId="67586CB7" w14:textId="77777777" w:rsidR="006E7004" w:rsidRPr="006E7004" w:rsidRDefault="006E7004" w:rsidP="00BD5E90">
            <w:pPr>
              <w:rPr>
                <w:rStyle w:val="Emphasis"/>
                <w:rFonts w:cstheme="minorHAnsi"/>
                <w:i w:val="0"/>
                <w:color w:val="000000"/>
              </w:rPr>
            </w:pPr>
            <w:r>
              <w:t>EMEA/H/C/000996</w:t>
            </w:r>
          </w:p>
        </w:tc>
        <w:tc>
          <w:tcPr>
            <w:tcW w:w="3093" w:type="dxa"/>
          </w:tcPr>
          <w:p w14:paraId="464FA11D" w14:textId="77777777" w:rsidR="00305BCD" w:rsidRDefault="00D55A22" w:rsidP="00BD5E90">
            <w:r>
              <w:t>[S]uppressive therapy of chronic pulmonary infections due to Pseudomonas aeruginosa in patients with cystic fibrosis (CF) aged 18 years and older</w:t>
            </w:r>
          </w:p>
        </w:tc>
        <w:tc>
          <w:tcPr>
            <w:tcW w:w="3926" w:type="dxa"/>
          </w:tcPr>
          <w:p w14:paraId="77E4C04E" w14:textId="77777777" w:rsidR="00305BCD" w:rsidRDefault="00EA07EA" w:rsidP="00BD5E90">
            <w:r>
              <w:t>CP-AI-005 Phase III Pivotal:</w:t>
            </w:r>
            <w:r w:rsidR="004755AB">
              <w:t xml:space="preserve"> The primary endpoint was time to need for IV or inhaled anti-PA antibiotics other than trial drug with documented symptom(s) predictive of pulmonary exacerbation (such as decreased exercise tolerance, increased cough, increased sputum/chest congestion, decreased appetite) following start of blinded study drug</w:t>
            </w:r>
          </w:p>
          <w:p w14:paraId="1DB26A52" w14:textId="77777777" w:rsidR="00EA07EA" w:rsidRDefault="00EA07EA" w:rsidP="00BD5E90"/>
          <w:p w14:paraId="60A59A89" w14:textId="77777777" w:rsidR="00EA07EA" w:rsidRDefault="00EA07EA" w:rsidP="00BD5E90">
            <w:r>
              <w:t xml:space="preserve">CP-AI-007 Phase III Pivotal: </w:t>
            </w:r>
            <w:r w:rsidR="004755AB">
              <w:t>The primary endpoint was change from Day 0 (baseline) to Day 28 in clinical symptoms as assessed by the respiratory domain of the CFQ-R). The CFQ-R was administered at Days 0, 14, 28, and 42/ Early Termination in a similar fashion as in study CP-AI-005.</w:t>
            </w:r>
          </w:p>
          <w:p w14:paraId="4C26764D" w14:textId="77777777" w:rsidR="00EA07EA" w:rsidRDefault="00EA07EA" w:rsidP="00BD5E90"/>
          <w:p w14:paraId="7A953D76" w14:textId="77777777" w:rsidR="00EA07EA" w:rsidRDefault="004755AB" w:rsidP="00BD5E90">
            <w:r>
              <w:t>CP-AI-006 Phase III Supportive</w:t>
            </w:r>
            <w:r w:rsidR="00EA07EA">
              <w:t>: Ongoing</w:t>
            </w:r>
            <w:r>
              <w:t>, safety</w:t>
            </w:r>
          </w:p>
          <w:p w14:paraId="4A63E1BC" w14:textId="77777777" w:rsidR="00EA07EA" w:rsidRDefault="00EA07EA" w:rsidP="00BD5E90"/>
          <w:p w14:paraId="74D7CB86" w14:textId="77777777" w:rsidR="00EA07EA" w:rsidRDefault="00EA07EA" w:rsidP="00BD5E90">
            <w:r>
              <w:t>CP-AI-003 Phase II Supportive: The primary efficacy variable was the percent change from pretreatment Day 0 to Day 14 in FEV1</w:t>
            </w:r>
          </w:p>
        </w:tc>
        <w:tc>
          <w:tcPr>
            <w:tcW w:w="1932" w:type="dxa"/>
          </w:tcPr>
          <w:p w14:paraId="15A7D8E8" w14:textId="77777777" w:rsidR="00305BCD" w:rsidRDefault="004755AB" w:rsidP="00BD5E90">
            <w:r>
              <w:t>Yes:</w:t>
            </w:r>
          </w:p>
          <w:p w14:paraId="6338EE42" w14:textId="77777777" w:rsidR="004755AB" w:rsidRDefault="004755AB" w:rsidP="00BD5E90"/>
          <w:p w14:paraId="1A1939BD" w14:textId="77777777" w:rsidR="004755AB" w:rsidRDefault="004755AB" w:rsidP="004755AB">
            <w:r>
              <w:t>Time to need for IV/other antibiotics (pivotal)</w:t>
            </w:r>
          </w:p>
          <w:p w14:paraId="54C8C061" w14:textId="77777777" w:rsidR="004755AB" w:rsidRDefault="004755AB" w:rsidP="004755AB"/>
          <w:p w14:paraId="34893656" w14:textId="77777777" w:rsidR="004755AB" w:rsidRDefault="004755AB" w:rsidP="004755AB">
            <w:r>
              <w:t>Percent change in FEV1</w:t>
            </w:r>
          </w:p>
        </w:tc>
      </w:tr>
      <w:tr w:rsidR="00305BCD" w14:paraId="652D83C3" w14:textId="77777777" w:rsidTr="009C0297">
        <w:tc>
          <w:tcPr>
            <w:tcW w:w="2673" w:type="dxa"/>
          </w:tcPr>
          <w:p w14:paraId="1903297B" w14:textId="77777777" w:rsidR="00305BCD" w:rsidRDefault="001A07E7" w:rsidP="00BD5E90">
            <w:pPr>
              <w:rPr>
                <w:rStyle w:val="Emphasis"/>
                <w:rFonts w:cstheme="minorHAnsi"/>
                <w:b/>
                <w:i w:val="0"/>
                <w:color w:val="000000"/>
              </w:rPr>
            </w:pPr>
            <w:r>
              <w:rPr>
                <w:rStyle w:val="Emphasis"/>
                <w:rFonts w:cstheme="minorHAnsi"/>
                <w:b/>
                <w:i w:val="0"/>
                <w:color w:val="000000"/>
              </w:rPr>
              <w:t>tafasitamab</w:t>
            </w:r>
          </w:p>
          <w:p w14:paraId="295B0F1A" w14:textId="77777777" w:rsidR="00D55A22" w:rsidRDefault="00D55A22" w:rsidP="00BD5E90">
            <w:pPr>
              <w:rPr>
                <w:rStyle w:val="Emphasis"/>
                <w:rFonts w:cstheme="minorHAnsi"/>
                <w:b/>
                <w:i w:val="0"/>
                <w:color w:val="000000"/>
              </w:rPr>
            </w:pPr>
          </w:p>
          <w:p w14:paraId="255F33DC" w14:textId="77777777" w:rsidR="00D55A22" w:rsidRDefault="001A07E7" w:rsidP="00BD5E90">
            <w:pPr>
              <w:rPr>
                <w:rStyle w:val="Emphasis"/>
                <w:rFonts w:cstheme="minorHAnsi"/>
                <w:i w:val="0"/>
                <w:color w:val="000000"/>
              </w:rPr>
            </w:pPr>
            <w:r>
              <w:rPr>
                <w:rStyle w:val="Emphasis"/>
                <w:rFonts w:cstheme="minorHAnsi"/>
                <w:i w:val="0"/>
                <w:color w:val="000000"/>
              </w:rPr>
              <w:t>Minjuvi</w:t>
            </w:r>
          </w:p>
          <w:p w14:paraId="5055497A" w14:textId="77777777" w:rsidR="00D55A22" w:rsidRDefault="00D55A22" w:rsidP="00BD5E90">
            <w:pPr>
              <w:rPr>
                <w:rStyle w:val="Emphasis"/>
                <w:rFonts w:cstheme="minorHAnsi"/>
                <w:i w:val="0"/>
                <w:color w:val="000000"/>
              </w:rPr>
            </w:pPr>
          </w:p>
          <w:p w14:paraId="72F09CE4" w14:textId="77777777" w:rsidR="00E87375" w:rsidRDefault="001A07E7" w:rsidP="001A07E7">
            <w:pPr>
              <w:rPr>
                <w:rStyle w:val="Emphasis"/>
                <w:rFonts w:cstheme="minorHAnsi"/>
                <w:i w:val="0"/>
                <w:color w:val="000000"/>
              </w:rPr>
            </w:pPr>
            <w:r>
              <w:rPr>
                <w:rStyle w:val="Emphasis"/>
                <w:rFonts w:cstheme="minorHAnsi"/>
                <w:i w:val="0"/>
                <w:color w:val="000000"/>
              </w:rPr>
              <w:t>C</w:t>
            </w:r>
            <w:r w:rsidR="00D55A22">
              <w:rPr>
                <w:rStyle w:val="Emphasis"/>
                <w:rFonts w:cstheme="minorHAnsi"/>
                <w:i w:val="0"/>
                <w:color w:val="000000"/>
              </w:rPr>
              <w:t>MA 2</w:t>
            </w:r>
            <w:r>
              <w:rPr>
                <w:rStyle w:val="Emphasis"/>
                <w:rFonts w:cstheme="minorHAnsi"/>
                <w:i w:val="0"/>
                <w:color w:val="000000"/>
              </w:rPr>
              <w:t>6/08/21</w:t>
            </w:r>
          </w:p>
          <w:p w14:paraId="13BFD349" w14:textId="77777777" w:rsidR="001A07E7" w:rsidRDefault="001A07E7" w:rsidP="001A07E7">
            <w:pPr>
              <w:rPr>
                <w:rStyle w:val="Emphasis"/>
                <w:rFonts w:cstheme="minorHAnsi"/>
                <w:i w:val="0"/>
                <w:color w:val="000000"/>
              </w:rPr>
            </w:pPr>
          </w:p>
          <w:p w14:paraId="4119661F" w14:textId="77777777" w:rsidR="001A07E7" w:rsidRDefault="001A07E7" w:rsidP="001A07E7">
            <w:pPr>
              <w:rPr>
                <w:rStyle w:val="Emphasis"/>
                <w:rFonts w:cstheme="minorHAnsi"/>
                <w:i w:val="0"/>
                <w:color w:val="000000"/>
              </w:rPr>
            </w:pPr>
            <w:r>
              <w:rPr>
                <w:rStyle w:val="Emphasis"/>
                <w:rFonts w:cstheme="minorHAnsi"/>
                <w:i w:val="0"/>
                <w:color w:val="000000"/>
              </w:rPr>
              <w:t>EMA/426468/2021</w:t>
            </w:r>
          </w:p>
          <w:p w14:paraId="066F7B7F" w14:textId="77777777" w:rsidR="00AA46A4" w:rsidRDefault="00AA46A4" w:rsidP="001A07E7">
            <w:pPr>
              <w:rPr>
                <w:rStyle w:val="Emphasis"/>
                <w:rFonts w:cstheme="minorHAnsi"/>
                <w:i w:val="0"/>
                <w:color w:val="000000"/>
              </w:rPr>
            </w:pPr>
          </w:p>
          <w:p w14:paraId="7DE16E81" w14:textId="77777777" w:rsidR="00AA46A4" w:rsidRPr="00D55A22" w:rsidRDefault="00AA46A4" w:rsidP="001A07E7">
            <w:pPr>
              <w:rPr>
                <w:rStyle w:val="Emphasis"/>
                <w:rFonts w:cstheme="minorHAnsi"/>
                <w:i w:val="0"/>
                <w:color w:val="000000"/>
              </w:rPr>
            </w:pPr>
            <w:r>
              <w:rPr>
                <w:rStyle w:val="Emphasis"/>
                <w:rFonts w:cstheme="minorHAnsi"/>
                <w:i w:val="0"/>
                <w:color w:val="000000"/>
              </w:rPr>
              <w:t>***Systematic review up to 13/08/21****</w:t>
            </w:r>
          </w:p>
        </w:tc>
        <w:tc>
          <w:tcPr>
            <w:tcW w:w="3093" w:type="dxa"/>
          </w:tcPr>
          <w:p w14:paraId="4C5953FB" w14:textId="77777777" w:rsidR="00305BCD" w:rsidRDefault="001A07E7" w:rsidP="00BD5E90">
            <w:r>
              <w:t>[I]n combination with lenalidomide followed by Minjuvi monotherapy for the treatment of adult patients with relapsed or refractory diffuse large B-cell lymphoma (DLBCL) who are not eligible for autologous stem cell transplant (ASCT).</w:t>
            </w:r>
          </w:p>
        </w:tc>
        <w:tc>
          <w:tcPr>
            <w:tcW w:w="3926" w:type="dxa"/>
          </w:tcPr>
          <w:p w14:paraId="19F7AD9C" w14:textId="77777777" w:rsidR="00305BCD" w:rsidRDefault="001A07E7" w:rsidP="00BD5E90">
            <w:r>
              <w:t>MOR208C203 Phase II Pivotal: The proportion of patients with CR and PR (CR+PR) as assessed by the Investigators and central read by independent reviewers, using the revised IWG Response Criteria (Cheson et al. 2007).</w:t>
            </w:r>
          </w:p>
          <w:p w14:paraId="4DCC02F4" w14:textId="77777777" w:rsidR="001A07E7" w:rsidRDefault="001A07E7" w:rsidP="00BD5E90"/>
          <w:p w14:paraId="269A16D8" w14:textId="77777777" w:rsidR="001A07E7" w:rsidRDefault="001A07E7" w:rsidP="00BD5E90">
            <w:r>
              <w:t>MOR208C201 Phase IIa Supportive:</w:t>
            </w:r>
            <w:r w:rsidR="00D569B7">
              <w:t xml:space="preserve"> Overall response rate also</w:t>
            </w:r>
          </w:p>
          <w:p w14:paraId="006B2BE6" w14:textId="77777777" w:rsidR="001A07E7" w:rsidRDefault="001A07E7" w:rsidP="00BD5E90"/>
          <w:p w14:paraId="2A7FB859" w14:textId="77777777" w:rsidR="001A07E7" w:rsidRDefault="001A07E7" w:rsidP="00BD5E90">
            <w:r>
              <w:t xml:space="preserve">MOR208C206 Observational Supportive: </w:t>
            </w:r>
            <w:r w:rsidR="00D569B7">
              <w:t>Overall response rate also</w:t>
            </w:r>
          </w:p>
          <w:p w14:paraId="00D0051B" w14:textId="77777777" w:rsidR="001A07E7" w:rsidRDefault="001A07E7" w:rsidP="00BD5E90"/>
        </w:tc>
        <w:tc>
          <w:tcPr>
            <w:tcW w:w="1932" w:type="dxa"/>
          </w:tcPr>
          <w:p w14:paraId="47608276" w14:textId="77777777" w:rsidR="001A07E7" w:rsidRDefault="001A07E7" w:rsidP="00BD5E90">
            <w:r>
              <w:t>Yes:</w:t>
            </w:r>
          </w:p>
          <w:p w14:paraId="5C79BA0D" w14:textId="77777777" w:rsidR="001A07E7" w:rsidRDefault="001A07E7" w:rsidP="00BD5E90"/>
          <w:p w14:paraId="44E375DD" w14:textId="77777777" w:rsidR="001A07E7" w:rsidRDefault="001A07E7" w:rsidP="00BD5E90">
            <w:r>
              <w:t>Overall response rate (pivotal)</w:t>
            </w:r>
          </w:p>
        </w:tc>
      </w:tr>
      <w:tr w:rsidR="00305BCD" w14:paraId="53B0BE80" w14:textId="77777777" w:rsidTr="009C0297">
        <w:tc>
          <w:tcPr>
            <w:tcW w:w="2673" w:type="dxa"/>
          </w:tcPr>
          <w:p w14:paraId="1E24BFEF" w14:textId="77777777" w:rsidR="00305BCD" w:rsidRDefault="00D569B7" w:rsidP="00BD5E90">
            <w:pPr>
              <w:rPr>
                <w:rStyle w:val="Emphasis"/>
                <w:rFonts w:cstheme="minorHAnsi"/>
                <w:b/>
                <w:i w:val="0"/>
                <w:color w:val="000000"/>
              </w:rPr>
            </w:pPr>
            <w:r>
              <w:rPr>
                <w:rStyle w:val="Emphasis"/>
                <w:rFonts w:cstheme="minorHAnsi"/>
                <w:b/>
                <w:i w:val="0"/>
                <w:color w:val="000000"/>
              </w:rPr>
              <w:t>idecabtagene vicleucel</w:t>
            </w:r>
          </w:p>
          <w:p w14:paraId="02E4037A" w14:textId="77777777" w:rsidR="007A5ABA" w:rsidRDefault="007A5ABA" w:rsidP="00BD5E90">
            <w:pPr>
              <w:rPr>
                <w:rStyle w:val="Emphasis"/>
                <w:rFonts w:cstheme="minorHAnsi"/>
                <w:b/>
                <w:i w:val="0"/>
                <w:color w:val="000000"/>
              </w:rPr>
            </w:pPr>
          </w:p>
          <w:p w14:paraId="00661606" w14:textId="77777777" w:rsidR="007A5ABA" w:rsidRDefault="00D569B7" w:rsidP="00BD5E90">
            <w:pPr>
              <w:rPr>
                <w:rStyle w:val="Emphasis"/>
                <w:rFonts w:cstheme="minorHAnsi"/>
                <w:i w:val="0"/>
                <w:color w:val="000000"/>
              </w:rPr>
            </w:pPr>
            <w:r>
              <w:rPr>
                <w:rStyle w:val="Emphasis"/>
                <w:rFonts w:cstheme="minorHAnsi"/>
                <w:i w:val="0"/>
                <w:color w:val="000000"/>
              </w:rPr>
              <w:t>Abecma</w:t>
            </w:r>
          </w:p>
          <w:p w14:paraId="67678838" w14:textId="77777777" w:rsidR="007A5ABA" w:rsidRDefault="007A5ABA" w:rsidP="00BD5E90">
            <w:pPr>
              <w:rPr>
                <w:rStyle w:val="Emphasis"/>
                <w:rFonts w:cstheme="minorHAnsi"/>
                <w:i w:val="0"/>
                <w:color w:val="000000"/>
              </w:rPr>
            </w:pPr>
          </w:p>
          <w:p w14:paraId="09E1CB58" w14:textId="77777777" w:rsidR="007A5ABA" w:rsidRDefault="00D569B7" w:rsidP="00BD5E90">
            <w:pPr>
              <w:rPr>
                <w:rStyle w:val="Emphasis"/>
                <w:rFonts w:cstheme="minorHAnsi"/>
                <w:i w:val="0"/>
                <w:color w:val="000000"/>
              </w:rPr>
            </w:pPr>
            <w:r>
              <w:rPr>
                <w:rStyle w:val="Emphasis"/>
                <w:rFonts w:cstheme="minorHAnsi"/>
                <w:i w:val="0"/>
                <w:color w:val="000000"/>
              </w:rPr>
              <w:t>CMA 18/08/21</w:t>
            </w:r>
          </w:p>
          <w:p w14:paraId="3642B3FB" w14:textId="77777777" w:rsidR="007A5ABA" w:rsidRDefault="007A5ABA" w:rsidP="00BD5E90">
            <w:pPr>
              <w:rPr>
                <w:rStyle w:val="Emphasis"/>
                <w:rFonts w:cstheme="minorHAnsi"/>
                <w:i w:val="0"/>
                <w:color w:val="000000"/>
              </w:rPr>
            </w:pPr>
          </w:p>
          <w:p w14:paraId="37FF62D3" w14:textId="77777777" w:rsidR="00E87375" w:rsidRPr="007A5ABA" w:rsidRDefault="00D569B7" w:rsidP="00D569B7">
            <w:pPr>
              <w:rPr>
                <w:rStyle w:val="Emphasis"/>
                <w:rFonts w:cstheme="minorHAnsi"/>
                <w:i w:val="0"/>
                <w:color w:val="000000"/>
              </w:rPr>
            </w:pPr>
            <w:r>
              <w:t>EMA/409800/20212021</w:t>
            </w:r>
          </w:p>
        </w:tc>
        <w:tc>
          <w:tcPr>
            <w:tcW w:w="3093" w:type="dxa"/>
          </w:tcPr>
          <w:p w14:paraId="5B7F0CCC" w14:textId="77777777" w:rsidR="00305BCD" w:rsidRDefault="00D569B7" w:rsidP="00BD5E90">
            <w:r>
              <w:t>[T]reatment of adult patients with relapsed and refractory multiple myeloma who have received at least three prior therapies, including an immunomodulatory agent, a proteasome inhibitor and an anti CD38 antibody and have demonstrated disease progression on the last therapy</w:t>
            </w:r>
          </w:p>
        </w:tc>
        <w:tc>
          <w:tcPr>
            <w:tcW w:w="3926" w:type="dxa"/>
          </w:tcPr>
          <w:p w14:paraId="341AC746" w14:textId="77777777" w:rsidR="00305BCD" w:rsidRDefault="00D569B7" w:rsidP="00D569B7">
            <w:r>
              <w:t>MM-001 Phase II Pivotal: Overall Response Rate (ORR), defined as the percentage of subjects who achieved partial response (PR) or better (stringent CR (sCR) + CR + VGPR + PR) as assessed by an Independent Response Committee (IRC) according to International IMWG response criteria (Kumar, 2016). The primary efficacy analysis was conducted based on the mITT (infused) patient population.</w:t>
            </w:r>
          </w:p>
          <w:p w14:paraId="025BA81E" w14:textId="77777777" w:rsidR="00D569B7" w:rsidRDefault="00D569B7" w:rsidP="00D569B7"/>
          <w:p w14:paraId="114D38A7" w14:textId="77777777" w:rsidR="00D569B7" w:rsidRDefault="00D569B7" w:rsidP="00D569B7">
            <w:r>
              <w:rPr>
                <w:b/>
              </w:rPr>
              <w:lastRenderedPageBreak/>
              <w:t>Systematic literature review was carried out and found 36 trials</w:t>
            </w:r>
          </w:p>
          <w:p w14:paraId="5A832986" w14:textId="77777777" w:rsidR="00D569B7" w:rsidRDefault="00D569B7" w:rsidP="00D569B7"/>
          <w:p w14:paraId="74DCD5C3" w14:textId="77777777" w:rsidR="00D569B7" w:rsidRPr="00D569B7" w:rsidRDefault="00D569B7" w:rsidP="00D569B7">
            <w:r>
              <w:t>CRB-401 Phase I Supportive: Primary objective is safety not efficacy</w:t>
            </w:r>
          </w:p>
        </w:tc>
        <w:tc>
          <w:tcPr>
            <w:tcW w:w="1932" w:type="dxa"/>
          </w:tcPr>
          <w:p w14:paraId="5701A31B" w14:textId="77777777" w:rsidR="00305BCD" w:rsidRDefault="00D569B7" w:rsidP="00BD5E90">
            <w:r>
              <w:lastRenderedPageBreak/>
              <w:t>Yes:</w:t>
            </w:r>
          </w:p>
          <w:p w14:paraId="74DB3A04" w14:textId="77777777" w:rsidR="00D569B7" w:rsidRDefault="00D569B7" w:rsidP="00BD5E90"/>
          <w:p w14:paraId="194DAB49" w14:textId="77777777" w:rsidR="00D569B7" w:rsidRDefault="00D569B7" w:rsidP="00BD5E90">
            <w:r>
              <w:t>Overall response rate (pivotal)</w:t>
            </w:r>
          </w:p>
        </w:tc>
      </w:tr>
      <w:tr w:rsidR="00D569B7" w14:paraId="2A29A694" w14:textId="77777777" w:rsidTr="009C0297">
        <w:tc>
          <w:tcPr>
            <w:tcW w:w="2673" w:type="dxa"/>
          </w:tcPr>
          <w:p w14:paraId="3E890A12" w14:textId="77777777" w:rsidR="00D569B7" w:rsidRDefault="00D569B7" w:rsidP="00BD5E90">
            <w:pPr>
              <w:rPr>
                <w:rStyle w:val="Emphasis"/>
                <w:rFonts w:cstheme="minorHAnsi"/>
                <w:b/>
                <w:i w:val="0"/>
                <w:color w:val="000000"/>
              </w:rPr>
            </w:pPr>
            <w:r>
              <w:rPr>
                <w:rStyle w:val="Emphasis"/>
                <w:rFonts w:cstheme="minorHAnsi"/>
                <w:b/>
                <w:i w:val="0"/>
                <w:color w:val="000000"/>
              </w:rPr>
              <w:t>selumetinib</w:t>
            </w:r>
          </w:p>
          <w:p w14:paraId="2A5418A7" w14:textId="77777777" w:rsidR="00D569B7" w:rsidRDefault="00D569B7" w:rsidP="00BD5E90">
            <w:pPr>
              <w:rPr>
                <w:rStyle w:val="Emphasis"/>
                <w:rFonts w:cstheme="minorHAnsi"/>
                <w:b/>
                <w:i w:val="0"/>
                <w:color w:val="000000"/>
              </w:rPr>
            </w:pPr>
          </w:p>
          <w:p w14:paraId="77427669" w14:textId="77777777" w:rsidR="00D569B7" w:rsidRDefault="00D569B7" w:rsidP="00BD5E90">
            <w:pPr>
              <w:rPr>
                <w:rStyle w:val="Emphasis"/>
                <w:rFonts w:cstheme="minorHAnsi"/>
                <w:i w:val="0"/>
                <w:color w:val="000000"/>
              </w:rPr>
            </w:pPr>
            <w:r>
              <w:rPr>
                <w:rStyle w:val="Emphasis"/>
                <w:rFonts w:cstheme="minorHAnsi"/>
                <w:i w:val="0"/>
                <w:color w:val="000000"/>
              </w:rPr>
              <w:t>Koselugo</w:t>
            </w:r>
          </w:p>
          <w:p w14:paraId="4BC59FBE" w14:textId="77777777" w:rsidR="00D569B7" w:rsidRDefault="00D569B7" w:rsidP="00BD5E90">
            <w:pPr>
              <w:rPr>
                <w:rStyle w:val="Emphasis"/>
                <w:rFonts w:cstheme="minorHAnsi"/>
                <w:i w:val="0"/>
                <w:color w:val="000000"/>
              </w:rPr>
            </w:pPr>
          </w:p>
          <w:p w14:paraId="778E10C4" w14:textId="77777777" w:rsidR="00D569B7" w:rsidRDefault="00D569B7" w:rsidP="00BD5E90">
            <w:pPr>
              <w:rPr>
                <w:rStyle w:val="Emphasis"/>
                <w:rFonts w:cstheme="minorHAnsi"/>
                <w:i w:val="0"/>
                <w:color w:val="000000"/>
              </w:rPr>
            </w:pPr>
            <w:r>
              <w:rPr>
                <w:rStyle w:val="Emphasis"/>
                <w:rFonts w:cstheme="minorHAnsi"/>
                <w:i w:val="0"/>
                <w:color w:val="000000"/>
              </w:rPr>
              <w:t>CMA 17/06/21</w:t>
            </w:r>
          </w:p>
          <w:p w14:paraId="202619C1" w14:textId="77777777" w:rsidR="00D569B7" w:rsidRDefault="00D569B7" w:rsidP="00BD5E90">
            <w:pPr>
              <w:rPr>
                <w:rStyle w:val="Emphasis"/>
                <w:rFonts w:cstheme="minorHAnsi"/>
                <w:i w:val="0"/>
                <w:color w:val="000000"/>
              </w:rPr>
            </w:pPr>
          </w:p>
          <w:p w14:paraId="70B6BFFA" w14:textId="77777777" w:rsidR="00D569B7" w:rsidRPr="00D569B7" w:rsidRDefault="00D569B7" w:rsidP="00BD5E90">
            <w:pPr>
              <w:rPr>
                <w:rStyle w:val="Emphasis"/>
                <w:rFonts w:cstheme="minorHAnsi"/>
                <w:i w:val="0"/>
                <w:color w:val="000000"/>
              </w:rPr>
            </w:pPr>
            <w:r>
              <w:rPr>
                <w:rStyle w:val="Emphasis"/>
                <w:rFonts w:cstheme="minorHAnsi"/>
                <w:i w:val="0"/>
                <w:color w:val="000000"/>
              </w:rPr>
              <w:t>EMA/549867/2021</w:t>
            </w:r>
          </w:p>
        </w:tc>
        <w:tc>
          <w:tcPr>
            <w:tcW w:w="3093" w:type="dxa"/>
          </w:tcPr>
          <w:p w14:paraId="2DEFC2DF" w14:textId="77777777" w:rsidR="00D569B7" w:rsidRDefault="00D569B7" w:rsidP="00BD5E90">
            <w:r>
              <w:t>[M]onotherapy is indicated for the treatment of symptomatic, inoperable plexiform neurofibromas (PN) in paediatric patients with neurofibromatosis type 1 (NF1) aged 3 years and above</w:t>
            </w:r>
          </w:p>
        </w:tc>
        <w:tc>
          <w:tcPr>
            <w:tcW w:w="3926" w:type="dxa"/>
          </w:tcPr>
          <w:p w14:paraId="6213B1F6" w14:textId="77777777" w:rsidR="00D569B7" w:rsidRDefault="00D569B7" w:rsidP="00D569B7">
            <w:r>
              <w:t>SPRINT Phase II Pivotal: The primary outcome variable pre-specified in the protocol was objective response rate (ORR), defined as the percentage of patients with a complete response (CR) or confirmed partial response (PR is target PN volume decrease from baseline ≥20%, confirmed when documented by subsequent volumetric MRI within 3 to 6 months)</w:t>
            </w:r>
          </w:p>
          <w:p w14:paraId="289F191D" w14:textId="77777777" w:rsidR="00D569B7" w:rsidRDefault="00D569B7" w:rsidP="00D569B7"/>
          <w:p w14:paraId="7A9332D7" w14:textId="77777777" w:rsidR="00D569B7" w:rsidRDefault="00D569B7" w:rsidP="00897010">
            <w:r>
              <w:t xml:space="preserve">01-C-0222 Phase II Supportive: placebo only analysis: primary outcome is time-to-progression </w:t>
            </w:r>
            <w:r w:rsidRPr="00D569B7">
              <w:t>clinicaltrials.gov/ct2/show/NCT00021541</w:t>
            </w:r>
            <w:r w:rsidR="00897010">
              <w:t xml:space="preserve"> </w:t>
            </w:r>
          </w:p>
        </w:tc>
        <w:tc>
          <w:tcPr>
            <w:tcW w:w="1932" w:type="dxa"/>
          </w:tcPr>
          <w:p w14:paraId="7C1262FB" w14:textId="77777777" w:rsidR="00D569B7" w:rsidRDefault="00D569B7" w:rsidP="00BD5E90">
            <w:r>
              <w:t>Yes:</w:t>
            </w:r>
          </w:p>
          <w:p w14:paraId="686C2134" w14:textId="77777777" w:rsidR="00D569B7" w:rsidRDefault="00D569B7" w:rsidP="00BD5E90"/>
          <w:p w14:paraId="1742C8FF" w14:textId="77777777" w:rsidR="00D569B7" w:rsidRDefault="00D569B7" w:rsidP="00BD5E90">
            <w:r>
              <w:t>Objective response rate (pivotal)</w:t>
            </w:r>
          </w:p>
          <w:p w14:paraId="782590D6" w14:textId="77777777" w:rsidR="00D569B7" w:rsidRDefault="00D569B7" w:rsidP="00BD5E90"/>
          <w:p w14:paraId="54325668" w14:textId="77777777" w:rsidR="00D569B7" w:rsidRDefault="00D569B7" w:rsidP="00BD5E90">
            <w:r>
              <w:t>Time-to-progression</w:t>
            </w:r>
          </w:p>
        </w:tc>
      </w:tr>
      <w:tr w:rsidR="009C0297" w14:paraId="62ADFDAD" w14:textId="77777777" w:rsidTr="009C0297">
        <w:tc>
          <w:tcPr>
            <w:tcW w:w="2673" w:type="dxa"/>
          </w:tcPr>
          <w:p w14:paraId="1AE84A98" w14:textId="77777777" w:rsidR="00503688" w:rsidRDefault="001A07E7" w:rsidP="00503688">
            <w:pPr>
              <w:rPr>
                <w:rStyle w:val="Emphasis"/>
                <w:rFonts w:cstheme="minorHAnsi"/>
                <w:i w:val="0"/>
                <w:color w:val="000000"/>
              </w:rPr>
            </w:pPr>
            <w:r>
              <w:rPr>
                <w:rStyle w:val="Emphasis"/>
                <w:rFonts w:cstheme="minorHAnsi"/>
                <w:i w:val="0"/>
                <w:color w:val="000000"/>
              </w:rPr>
              <w:t>The following were</w:t>
            </w:r>
            <w:r w:rsidR="00503688">
              <w:rPr>
                <w:rStyle w:val="Emphasis"/>
                <w:rFonts w:cstheme="minorHAnsi"/>
                <w:i w:val="0"/>
                <w:color w:val="000000"/>
              </w:rPr>
              <w:t xml:space="preserve"> in “conditional marketing authorization”</w:t>
            </w:r>
            <w:r>
              <w:rPr>
                <w:rStyle w:val="Emphasis"/>
                <w:rFonts w:cstheme="minorHAnsi"/>
                <w:i w:val="0"/>
                <w:color w:val="000000"/>
              </w:rPr>
              <w:t xml:space="preserve"> or “conditional marketing authorisation”</w:t>
            </w:r>
            <w:r w:rsidR="00503688">
              <w:rPr>
                <w:rStyle w:val="Emphasis"/>
                <w:rFonts w:cstheme="minorHAnsi"/>
                <w:i w:val="0"/>
                <w:color w:val="000000"/>
              </w:rPr>
              <w:t xml:space="preserve"> search </w:t>
            </w:r>
            <w:r>
              <w:rPr>
                <w:rStyle w:val="Emphasis"/>
                <w:rFonts w:cstheme="minorHAnsi"/>
                <w:i w:val="0"/>
                <w:color w:val="000000"/>
              </w:rPr>
              <w:t>queries</w:t>
            </w:r>
            <w:r w:rsidR="00503688">
              <w:rPr>
                <w:rStyle w:val="Emphasis"/>
                <w:rFonts w:cstheme="minorHAnsi"/>
                <w:i w:val="0"/>
                <w:color w:val="000000"/>
              </w:rPr>
              <w:t xml:space="preserve"> despite unconditional MA</w:t>
            </w:r>
          </w:p>
          <w:p w14:paraId="5C825FFD" w14:textId="77777777" w:rsidR="009C0297" w:rsidRDefault="009C0297" w:rsidP="009C0297">
            <w:pPr>
              <w:rPr>
                <w:rStyle w:val="Emphasis"/>
                <w:rFonts w:cstheme="minorHAnsi"/>
                <w:i w:val="0"/>
                <w:color w:val="000000"/>
              </w:rPr>
            </w:pPr>
          </w:p>
          <w:p w14:paraId="10A964A6" w14:textId="77777777" w:rsidR="009C0297" w:rsidRPr="009C0297" w:rsidRDefault="001A07E7" w:rsidP="009C0297">
            <w:pPr>
              <w:rPr>
                <w:rStyle w:val="Emphasis"/>
                <w:rFonts w:cstheme="minorHAnsi"/>
                <w:i w:val="0"/>
                <w:color w:val="000000"/>
              </w:rPr>
            </w:pPr>
            <w:r>
              <w:rPr>
                <w:rStyle w:val="Emphasis"/>
                <w:rFonts w:cstheme="minorHAnsi"/>
                <w:i w:val="0"/>
                <w:color w:val="000000"/>
              </w:rPr>
              <w:t xml:space="preserve">BeneFIX, Vazkepa, Imbruvica, Hyrimoz, Opdivo, Yervoy, Enspryng, Kesimpta, </w:t>
            </w:r>
            <w:r w:rsidR="009C0297">
              <w:rPr>
                <w:rStyle w:val="Emphasis"/>
                <w:rFonts w:cstheme="minorHAnsi"/>
                <w:i w:val="0"/>
                <w:color w:val="000000"/>
              </w:rPr>
              <w:t xml:space="preserve">Trulicity, Tivicay, Hefiya, Saxenda, Tysabri, Inrebic, Ponvory, Pradaxa, </w:t>
            </w:r>
            <w:r w:rsidR="00F31331">
              <w:rPr>
                <w:rStyle w:val="Emphasis"/>
                <w:rFonts w:cstheme="minorHAnsi"/>
                <w:i w:val="0"/>
                <w:color w:val="000000"/>
              </w:rPr>
              <w:t xml:space="preserve">Sarclisa, Drovelis, Lydisilka, </w:t>
            </w:r>
            <w:r w:rsidR="00F81361">
              <w:rPr>
                <w:rStyle w:val="Emphasis"/>
                <w:rFonts w:cstheme="minorHAnsi"/>
                <w:i w:val="0"/>
                <w:color w:val="000000"/>
              </w:rPr>
              <w:t xml:space="preserve">Doptelet, Perjeta, Tafinlar, Plegridy, Alprolix, Rapamune, Tobi Podhaler, Kovaltry, Livogiva, Tremfya, Isturisa, Imvanex, Mepsevii, </w:t>
            </w:r>
            <w:r w:rsidR="00313BFE">
              <w:rPr>
                <w:rStyle w:val="Emphasis"/>
                <w:rFonts w:cstheme="minorHAnsi"/>
                <w:i w:val="0"/>
                <w:color w:val="000000"/>
              </w:rPr>
              <w:t>Zeposia, Palforzia, Phesgo, Xofluza, Evkee</w:t>
            </w:r>
            <w:r w:rsidR="002F19A2">
              <w:rPr>
                <w:rStyle w:val="Emphasis"/>
                <w:rFonts w:cstheme="minorHAnsi"/>
                <w:i w:val="0"/>
                <w:color w:val="000000"/>
              </w:rPr>
              <w:t>za, Rekambys, Lumoxiti, Sogroya, Klisyri, Ryeqo, Imcivree, Bylvay, Byooviz, Bimzelx, Voxzogo, Regkirona, Ronapreve, Vumerity</w:t>
            </w:r>
            <w:r w:rsidR="001F4D70">
              <w:rPr>
                <w:rStyle w:val="Emphasis"/>
                <w:rFonts w:cstheme="minorHAnsi"/>
                <w:i w:val="0"/>
                <w:color w:val="000000"/>
              </w:rPr>
              <w:t xml:space="preserve">, Maviret, Leqvio, Jivi, Evotaz, </w:t>
            </w:r>
            <w:r>
              <w:rPr>
                <w:rStyle w:val="Emphasis"/>
                <w:rFonts w:cstheme="minorHAnsi"/>
                <w:i w:val="0"/>
                <w:color w:val="000000"/>
              </w:rPr>
              <w:t>Libmeldy, Xarelto</w:t>
            </w:r>
          </w:p>
        </w:tc>
        <w:tc>
          <w:tcPr>
            <w:tcW w:w="3093" w:type="dxa"/>
          </w:tcPr>
          <w:p w14:paraId="4D86F1D2" w14:textId="77777777" w:rsidR="009C0297" w:rsidRDefault="00F31331" w:rsidP="009C0297">
            <w:r>
              <w:t>N/A</w:t>
            </w:r>
          </w:p>
        </w:tc>
        <w:tc>
          <w:tcPr>
            <w:tcW w:w="3926" w:type="dxa"/>
          </w:tcPr>
          <w:p w14:paraId="4CF7E3FF" w14:textId="77777777" w:rsidR="009C0297" w:rsidRDefault="00F31331" w:rsidP="009C0297">
            <w:r>
              <w:t>N/A</w:t>
            </w:r>
          </w:p>
        </w:tc>
        <w:tc>
          <w:tcPr>
            <w:tcW w:w="1932" w:type="dxa"/>
          </w:tcPr>
          <w:p w14:paraId="5CF29E41" w14:textId="77777777" w:rsidR="009C0297" w:rsidRDefault="00F31331" w:rsidP="009C0297">
            <w:r>
              <w:t>N/A</w:t>
            </w:r>
          </w:p>
        </w:tc>
      </w:tr>
      <w:tr w:rsidR="009C0297" w14:paraId="1920B5C3" w14:textId="77777777" w:rsidTr="009C0297">
        <w:tc>
          <w:tcPr>
            <w:tcW w:w="2673" w:type="dxa"/>
          </w:tcPr>
          <w:p w14:paraId="47E9BC6D" w14:textId="77777777" w:rsidR="009C0297" w:rsidRDefault="00F31331" w:rsidP="009C0297">
            <w:pPr>
              <w:rPr>
                <w:rStyle w:val="Emphasis"/>
                <w:rFonts w:cstheme="minorHAnsi"/>
                <w:b/>
                <w:i w:val="0"/>
                <w:color w:val="000000"/>
              </w:rPr>
            </w:pPr>
            <w:r>
              <w:rPr>
                <w:rStyle w:val="Emphasis"/>
                <w:rFonts w:cstheme="minorHAnsi"/>
                <w:b/>
                <w:i w:val="0"/>
                <w:color w:val="000000"/>
              </w:rPr>
              <w:t>trametinib</w:t>
            </w:r>
          </w:p>
          <w:p w14:paraId="6CEE6E9F" w14:textId="77777777" w:rsidR="00F31331" w:rsidRDefault="00F31331" w:rsidP="009C0297">
            <w:pPr>
              <w:rPr>
                <w:rStyle w:val="Emphasis"/>
                <w:rFonts w:cstheme="minorHAnsi"/>
                <w:b/>
                <w:i w:val="0"/>
                <w:color w:val="000000"/>
              </w:rPr>
            </w:pPr>
          </w:p>
          <w:p w14:paraId="1216BF7A" w14:textId="77777777" w:rsidR="00F31331" w:rsidRDefault="00F31331" w:rsidP="009C0297">
            <w:pPr>
              <w:rPr>
                <w:rStyle w:val="Emphasis"/>
                <w:rFonts w:cstheme="minorHAnsi"/>
                <w:i w:val="0"/>
                <w:color w:val="000000"/>
              </w:rPr>
            </w:pPr>
            <w:r>
              <w:rPr>
                <w:rStyle w:val="Emphasis"/>
                <w:rFonts w:cstheme="minorHAnsi"/>
                <w:i w:val="0"/>
                <w:color w:val="000000"/>
              </w:rPr>
              <w:t>Mekinist</w:t>
            </w:r>
          </w:p>
          <w:p w14:paraId="0DBC6C96" w14:textId="77777777" w:rsidR="00F31331" w:rsidRDefault="00F31331" w:rsidP="009C0297">
            <w:pPr>
              <w:rPr>
                <w:rStyle w:val="Emphasis"/>
                <w:rFonts w:cstheme="minorHAnsi"/>
                <w:i w:val="0"/>
                <w:color w:val="000000"/>
              </w:rPr>
            </w:pPr>
          </w:p>
          <w:p w14:paraId="109E71FD" w14:textId="77777777" w:rsidR="00F31331" w:rsidRDefault="00F31331" w:rsidP="009C0297">
            <w:pPr>
              <w:rPr>
                <w:rStyle w:val="Emphasis"/>
                <w:rFonts w:cstheme="minorHAnsi"/>
                <w:i w:val="0"/>
                <w:color w:val="000000"/>
              </w:rPr>
            </w:pPr>
            <w:r>
              <w:rPr>
                <w:rStyle w:val="Emphasis"/>
                <w:rFonts w:cstheme="minorHAnsi"/>
                <w:i w:val="0"/>
                <w:color w:val="000000"/>
              </w:rPr>
              <w:t>MA 30/06/14</w:t>
            </w:r>
          </w:p>
          <w:p w14:paraId="2987B2EE" w14:textId="77777777" w:rsidR="00F31331" w:rsidRDefault="00F31331" w:rsidP="009C0297">
            <w:pPr>
              <w:rPr>
                <w:rStyle w:val="Emphasis"/>
                <w:rFonts w:cstheme="minorHAnsi"/>
                <w:i w:val="0"/>
                <w:color w:val="000000"/>
              </w:rPr>
            </w:pPr>
          </w:p>
          <w:p w14:paraId="55E81AE4" w14:textId="77777777" w:rsidR="00F31331" w:rsidRDefault="00F31331" w:rsidP="00F31331">
            <w:pPr>
              <w:rPr>
                <w:rStyle w:val="Emphasis"/>
                <w:rFonts w:cstheme="minorHAnsi"/>
                <w:i w:val="0"/>
                <w:color w:val="000000"/>
              </w:rPr>
            </w:pPr>
            <w:r>
              <w:rPr>
                <w:rStyle w:val="Emphasis"/>
                <w:rFonts w:cstheme="minorHAnsi"/>
                <w:i w:val="0"/>
                <w:color w:val="000000"/>
              </w:rPr>
              <w:lastRenderedPageBreak/>
              <w:t>*was in “conditional marketing authorization” search query despite unconditional</w:t>
            </w:r>
          </w:p>
          <w:p w14:paraId="445C9324" w14:textId="77777777" w:rsidR="00F31331" w:rsidRDefault="00F31331" w:rsidP="009C0297">
            <w:pPr>
              <w:rPr>
                <w:rStyle w:val="Emphasis"/>
                <w:rFonts w:cstheme="minorHAnsi"/>
                <w:i w:val="0"/>
                <w:color w:val="000000"/>
              </w:rPr>
            </w:pPr>
          </w:p>
          <w:p w14:paraId="2E859EA7" w14:textId="77777777" w:rsidR="00F31331" w:rsidRPr="00F31331" w:rsidRDefault="00F81361" w:rsidP="009C0297">
            <w:pPr>
              <w:rPr>
                <w:rStyle w:val="Emphasis"/>
                <w:rFonts w:cstheme="minorHAnsi"/>
                <w:i w:val="0"/>
                <w:color w:val="000000"/>
              </w:rPr>
            </w:pPr>
            <w:r>
              <w:t>EMA/CHMP/258608/2014</w:t>
            </w:r>
          </w:p>
        </w:tc>
        <w:tc>
          <w:tcPr>
            <w:tcW w:w="3093" w:type="dxa"/>
          </w:tcPr>
          <w:p w14:paraId="57242696" w14:textId="77777777" w:rsidR="009C0297" w:rsidRDefault="00F31331" w:rsidP="009C0297">
            <w:r>
              <w:lastRenderedPageBreak/>
              <w:t xml:space="preserve">The Applicant requested with the Day 121 responses consideration of a conditional marketing authorisation approval. The results of the ongoing phase III confirmatory trial exploring activity of </w:t>
            </w:r>
            <w:r>
              <w:lastRenderedPageBreak/>
              <w:t>dabrafenib in combination with trametinib in the proposed target population are expected in late 2013, and could be assessed within the timeframe of this procedure, the request for conditional marketing authorisation was therefore not endorsed by the CHMP.</w:t>
            </w:r>
          </w:p>
        </w:tc>
        <w:tc>
          <w:tcPr>
            <w:tcW w:w="3926" w:type="dxa"/>
          </w:tcPr>
          <w:p w14:paraId="20E931FE" w14:textId="77777777" w:rsidR="009C0297" w:rsidRDefault="00F31331" w:rsidP="009C0297">
            <w:r>
              <w:lastRenderedPageBreak/>
              <w:t>N/A</w:t>
            </w:r>
          </w:p>
        </w:tc>
        <w:tc>
          <w:tcPr>
            <w:tcW w:w="1932" w:type="dxa"/>
          </w:tcPr>
          <w:p w14:paraId="2D2FAD86" w14:textId="77777777" w:rsidR="009C0297" w:rsidRDefault="00F31331" w:rsidP="009C0297">
            <w:r>
              <w:t>N/A</w:t>
            </w:r>
          </w:p>
        </w:tc>
      </w:tr>
      <w:tr w:rsidR="009C0297" w14:paraId="42135CF3" w14:textId="77777777" w:rsidTr="009C0297">
        <w:tc>
          <w:tcPr>
            <w:tcW w:w="2673" w:type="dxa"/>
          </w:tcPr>
          <w:p w14:paraId="16E9C9A4" w14:textId="77777777" w:rsidR="009C0297" w:rsidRDefault="00F81361" w:rsidP="009C0297">
            <w:pPr>
              <w:rPr>
                <w:rStyle w:val="Emphasis"/>
                <w:rFonts w:cstheme="minorHAnsi"/>
                <w:b/>
                <w:i w:val="0"/>
                <w:color w:val="000000"/>
              </w:rPr>
            </w:pPr>
            <w:r>
              <w:rPr>
                <w:rStyle w:val="Emphasis"/>
                <w:rFonts w:cstheme="minorHAnsi"/>
                <w:b/>
                <w:i w:val="0"/>
                <w:color w:val="000000"/>
              </w:rPr>
              <w:t>crizotinib</w:t>
            </w:r>
          </w:p>
          <w:p w14:paraId="21E95D37" w14:textId="77777777" w:rsidR="00F81361" w:rsidRDefault="00F81361" w:rsidP="009C0297">
            <w:pPr>
              <w:rPr>
                <w:rStyle w:val="Emphasis"/>
                <w:rFonts w:cstheme="minorHAnsi"/>
                <w:b/>
                <w:i w:val="0"/>
                <w:color w:val="000000"/>
              </w:rPr>
            </w:pPr>
          </w:p>
          <w:p w14:paraId="10A9C925" w14:textId="77777777" w:rsidR="00F81361" w:rsidRDefault="00F81361" w:rsidP="009C0297">
            <w:pPr>
              <w:rPr>
                <w:rStyle w:val="Emphasis"/>
                <w:rFonts w:cstheme="minorHAnsi"/>
                <w:i w:val="0"/>
                <w:color w:val="000000"/>
              </w:rPr>
            </w:pPr>
            <w:r>
              <w:rPr>
                <w:rStyle w:val="Emphasis"/>
                <w:rFonts w:cstheme="minorHAnsi"/>
                <w:i w:val="0"/>
                <w:color w:val="000000"/>
              </w:rPr>
              <w:t>Xalkori</w:t>
            </w:r>
          </w:p>
          <w:p w14:paraId="5C9652D4" w14:textId="77777777" w:rsidR="00F81361" w:rsidRDefault="00F81361" w:rsidP="009C0297">
            <w:pPr>
              <w:rPr>
                <w:rStyle w:val="Emphasis"/>
                <w:rFonts w:cstheme="minorHAnsi"/>
                <w:i w:val="0"/>
                <w:color w:val="000000"/>
              </w:rPr>
            </w:pPr>
          </w:p>
          <w:p w14:paraId="0DF4664F" w14:textId="77777777" w:rsidR="00F81361" w:rsidRDefault="00F81361" w:rsidP="009C0297">
            <w:pPr>
              <w:rPr>
                <w:rStyle w:val="Emphasis"/>
                <w:rFonts w:cstheme="minorHAnsi"/>
                <w:i w:val="0"/>
                <w:color w:val="000000"/>
              </w:rPr>
            </w:pPr>
            <w:r>
              <w:rPr>
                <w:rStyle w:val="Emphasis"/>
                <w:rFonts w:cstheme="minorHAnsi"/>
                <w:i w:val="0"/>
                <w:color w:val="000000"/>
              </w:rPr>
              <w:t>CMA 23/10/12</w:t>
            </w:r>
          </w:p>
          <w:p w14:paraId="7405AFA0" w14:textId="77777777" w:rsidR="00F81361" w:rsidRDefault="00F81361" w:rsidP="009C0297">
            <w:pPr>
              <w:rPr>
                <w:rStyle w:val="Emphasis"/>
                <w:rFonts w:cstheme="minorHAnsi"/>
                <w:i w:val="0"/>
                <w:color w:val="000000"/>
              </w:rPr>
            </w:pPr>
          </w:p>
          <w:p w14:paraId="192F7F8B" w14:textId="77777777" w:rsidR="00F81361" w:rsidRPr="00F81361" w:rsidRDefault="00F81361" w:rsidP="009C0297">
            <w:pPr>
              <w:rPr>
                <w:rStyle w:val="Emphasis"/>
                <w:rFonts w:cstheme="minorHAnsi"/>
                <w:i w:val="0"/>
                <w:color w:val="000000"/>
              </w:rPr>
            </w:pPr>
            <w:r>
              <w:t>EMA/CHMP/497137/2012</w:t>
            </w:r>
          </w:p>
        </w:tc>
        <w:tc>
          <w:tcPr>
            <w:tcW w:w="3093" w:type="dxa"/>
          </w:tcPr>
          <w:p w14:paraId="4E3CB90F" w14:textId="77777777" w:rsidR="009C0297" w:rsidRDefault="003960DA" w:rsidP="009C0297">
            <w:r>
              <w:t>XALKORI is indicated for the treatment of adults with previously treated anaplastic lymphoma kinase (ALK)-positive advanced non-small cell lung cancer (NSCLC).</w:t>
            </w:r>
          </w:p>
        </w:tc>
        <w:tc>
          <w:tcPr>
            <w:tcW w:w="3926" w:type="dxa"/>
          </w:tcPr>
          <w:p w14:paraId="0A944BD2" w14:textId="77777777" w:rsidR="009C0297" w:rsidRDefault="003960DA" w:rsidP="009C0297">
            <w:r>
              <w:t>A8081001 Phase I Pivotal: The primary efficacy endpoint in this cohort was ORR: ORR was defined as the percent of patients in the Response Evaluable (RE) population achieving a confirmed CR or confirmed PR according to RECIST.</w:t>
            </w:r>
          </w:p>
          <w:p w14:paraId="762D62D2" w14:textId="77777777" w:rsidR="003960DA" w:rsidRDefault="003960DA" w:rsidP="009C0297"/>
          <w:p w14:paraId="46350095" w14:textId="77777777" w:rsidR="003960DA" w:rsidRDefault="003960DA" w:rsidP="009C0297">
            <w:r>
              <w:t>1005 Phase II Supportive: Same as above</w:t>
            </w:r>
          </w:p>
          <w:p w14:paraId="7A643C5A" w14:textId="77777777" w:rsidR="003960DA" w:rsidRDefault="003960DA" w:rsidP="009C0297"/>
          <w:p w14:paraId="726C3BEF" w14:textId="77777777" w:rsidR="003960DA" w:rsidRDefault="003960DA" w:rsidP="009C0297">
            <w:r>
              <w:t>1007 Phase III Supportive: Primary efficacy criteria (PFS)</w:t>
            </w:r>
          </w:p>
        </w:tc>
        <w:tc>
          <w:tcPr>
            <w:tcW w:w="1932" w:type="dxa"/>
          </w:tcPr>
          <w:p w14:paraId="3D4427C0" w14:textId="77777777" w:rsidR="009C0297" w:rsidRDefault="003960DA" w:rsidP="009C0297">
            <w:r>
              <w:t>Yes:</w:t>
            </w:r>
          </w:p>
          <w:p w14:paraId="7AB5C830" w14:textId="77777777" w:rsidR="003960DA" w:rsidRDefault="003960DA" w:rsidP="009C0297"/>
          <w:p w14:paraId="2ACDD8AB" w14:textId="77777777" w:rsidR="003960DA" w:rsidRDefault="003960DA" w:rsidP="009C0297">
            <w:r>
              <w:t>Objective response rate (pivotal)</w:t>
            </w:r>
          </w:p>
          <w:p w14:paraId="35FDDC15" w14:textId="77777777" w:rsidR="003960DA" w:rsidRDefault="003960DA" w:rsidP="009C0297"/>
          <w:p w14:paraId="66F0E1CD" w14:textId="77777777" w:rsidR="003960DA" w:rsidRDefault="003960DA" w:rsidP="009C0297">
            <w:r>
              <w:t>Progression-free survival</w:t>
            </w:r>
          </w:p>
        </w:tc>
      </w:tr>
      <w:tr w:rsidR="009C0297" w14:paraId="6367CBAC" w14:textId="77777777" w:rsidTr="009C0297">
        <w:tc>
          <w:tcPr>
            <w:tcW w:w="2673" w:type="dxa"/>
          </w:tcPr>
          <w:p w14:paraId="7BE1AA32" w14:textId="77777777" w:rsidR="009C0297" w:rsidRDefault="00F81361" w:rsidP="009C0297">
            <w:pPr>
              <w:rPr>
                <w:rStyle w:val="Emphasis"/>
                <w:rFonts w:cstheme="minorHAnsi"/>
                <w:b/>
                <w:i w:val="0"/>
                <w:color w:val="000000"/>
              </w:rPr>
            </w:pPr>
            <w:r>
              <w:rPr>
                <w:rStyle w:val="Emphasis"/>
                <w:rFonts w:cstheme="minorHAnsi"/>
                <w:b/>
                <w:i w:val="0"/>
                <w:color w:val="000000"/>
              </w:rPr>
              <w:t>vismodegib</w:t>
            </w:r>
          </w:p>
          <w:p w14:paraId="1B4B2ACA" w14:textId="77777777" w:rsidR="00F81361" w:rsidRDefault="00F81361" w:rsidP="009C0297">
            <w:pPr>
              <w:rPr>
                <w:rStyle w:val="Emphasis"/>
                <w:rFonts w:cstheme="minorHAnsi"/>
                <w:b/>
                <w:i w:val="0"/>
                <w:color w:val="000000"/>
              </w:rPr>
            </w:pPr>
          </w:p>
          <w:p w14:paraId="2DB54D24" w14:textId="77777777" w:rsidR="00F81361" w:rsidRDefault="00F81361" w:rsidP="009C0297">
            <w:pPr>
              <w:rPr>
                <w:rStyle w:val="Emphasis"/>
                <w:rFonts w:cstheme="minorHAnsi"/>
                <w:i w:val="0"/>
                <w:color w:val="000000"/>
              </w:rPr>
            </w:pPr>
            <w:r>
              <w:rPr>
                <w:rStyle w:val="Emphasis"/>
                <w:rFonts w:cstheme="minorHAnsi"/>
                <w:i w:val="0"/>
                <w:color w:val="000000"/>
              </w:rPr>
              <w:t>Erivedge</w:t>
            </w:r>
          </w:p>
          <w:p w14:paraId="1F5D3C0A" w14:textId="77777777" w:rsidR="00F81361" w:rsidRDefault="00F81361" w:rsidP="009C0297">
            <w:pPr>
              <w:rPr>
                <w:rStyle w:val="Emphasis"/>
                <w:rFonts w:cstheme="minorHAnsi"/>
                <w:i w:val="0"/>
                <w:color w:val="000000"/>
              </w:rPr>
            </w:pPr>
          </w:p>
          <w:p w14:paraId="56D51CEE" w14:textId="77777777" w:rsidR="00F81361" w:rsidRDefault="00F81361" w:rsidP="009C0297">
            <w:pPr>
              <w:rPr>
                <w:rStyle w:val="Emphasis"/>
                <w:rFonts w:cstheme="minorHAnsi"/>
                <w:i w:val="0"/>
                <w:color w:val="000000"/>
              </w:rPr>
            </w:pPr>
            <w:r>
              <w:rPr>
                <w:rStyle w:val="Emphasis"/>
                <w:rFonts w:cstheme="minorHAnsi"/>
                <w:i w:val="0"/>
                <w:color w:val="000000"/>
              </w:rPr>
              <w:t>CMA 12/07/13</w:t>
            </w:r>
          </w:p>
          <w:p w14:paraId="48C3B35F" w14:textId="77777777" w:rsidR="00F81361" w:rsidRDefault="00F81361" w:rsidP="009C0297">
            <w:pPr>
              <w:rPr>
                <w:rStyle w:val="Emphasis"/>
                <w:rFonts w:cstheme="minorHAnsi"/>
                <w:i w:val="0"/>
                <w:color w:val="000000"/>
              </w:rPr>
            </w:pPr>
          </w:p>
          <w:p w14:paraId="16C52658" w14:textId="77777777" w:rsidR="00F81361" w:rsidRPr="00F81361" w:rsidRDefault="00F81361" w:rsidP="009C0297">
            <w:pPr>
              <w:rPr>
                <w:rStyle w:val="Emphasis"/>
                <w:rFonts w:cstheme="minorHAnsi"/>
                <w:i w:val="0"/>
                <w:color w:val="000000"/>
              </w:rPr>
            </w:pPr>
            <w:r>
              <w:t>EMA/297688/2013</w:t>
            </w:r>
          </w:p>
        </w:tc>
        <w:tc>
          <w:tcPr>
            <w:tcW w:w="3093" w:type="dxa"/>
          </w:tcPr>
          <w:p w14:paraId="245CC7DA" w14:textId="77777777" w:rsidR="006201A5" w:rsidRDefault="006201A5" w:rsidP="009C0297">
            <w:r>
              <w:t xml:space="preserve">[T]reatment of adult patients with: </w:t>
            </w:r>
          </w:p>
          <w:p w14:paraId="166BAD6C" w14:textId="77777777" w:rsidR="006201A5" w:rsidRDefault="006201A5" w:rsidP="009C0297">
            <w:r>
              <w:t xml:space="preserve">- Symptomatic metastatic basal cell carcinoma </w:t>
            </w:r>
          </w:p>
          <w:p w14:paraId="3BE8B6B1" w14:textId="77777777" w:rsidR="009C0297" w:rsidRDefault="006201A5" w:rsidP="009C0297">
            <w:r>
              <w:t>- Locally advanced basal cell carcinoma inappropriate for surgery or radiotherapy</w:t>
            </w:r>
          </w:p>
        </w:tc>
        <w:tc>
          <w:tcPr>
            <w:tcW w:w="3926" w:type="dxa"/>
          </w:tcPr>
          <w:p w14:paraId="69B56F74" w14:textId="77777777" w:rsidR="009C0297" w:rsidRDefault="00E40408" w:rsidP="009C0297">
            <w:r>
              <w:t>SHH4476g Phase II Pivotal: ORR per IRF assessment</w:t>
            </w:r>
          </w:p>
          <w:p w14:paraId="70819618" w14:textId="77777777" w:rsidR="00E40408" w:rsidRDefault="00E40408" w:rsidP="009C0297"/>
          <w:p w14:paraId="36681892" w14:textId="77777777" w:rsidR="00E40408" w:rsidRDefault="00E40408" w:rsidP="009C0297">
            <w:r>
              <w:t>SHH3925g Phase I Supportive: Safety, pharmacokinetics, and determination of the MTD</w:t>
            </w:r>
          </w:p>
          <w:p w14:paraId="52836AA3" w14:textId="77777777" w:rsidR="00E40408" w:rsidRDefault="00E40408" w:rsidP="009C0297"/>
          <w:p w14:paraId="169EC1A4" w14:textId="77777777" w:rsidR="00E40408" w:rsidRDefault="00E40408" w:rsidP="009C0297">
            <w:r>
              <w:t>Plus two safety supportive studies</w:t>
            </w:r>
          </w:p>
        </w:tc>
        <w:tc>
          <w:tcPr>
            <w:tcW w:w="1932" w:type="dxa"/>
          </w:tcPr>
          <w:p w14:paraId="63775C8F" w14:textId="77777777" w:rsidR="009C0297" w:rsidRDefault="00E40408" w:rsidP="009C0297">
            <w:r>
              <w:t>Yes:</w:t>
            </w:r>
          </w:p>
          <w:p w14:paraId="7526CBB0" w14:textId="77777777" w:rsidR="00E40408" w:rsidRDefault="00E40408" w:rsidP="009C0297"/>
          <w:p w14:paraId="6C6114CC" w14:textId="77777777" w:rsidR="00E40408" w:rsidRDefault="00E40408" w:rsidP="009C0297">
            <w:r>
              <w:t>Objective response rate (pivotal)</w:t>
            </w:r>
          </w:p>
        </w:tc>
      </w:tr>
      <w:tr w:rsidR="009C0297" w14:paraId="7305D535" w14:textId="77777777" w:rsidTr="009C0297">
        <w:tc>
          <w:tcPr>
            <w:tcW w:w="2673" w:type="dxa"/>
          </w:tcPr>
          <w:p w14:paraId="1FFD5F2D" w14:textId="77777777" w:rsidR="009C0297" w:rsidRDefault="00F81361" w:rsidP="009C0297">
            <w:pPr>
              <w:rPr>
                <w:rStyle w:val="Emphasis"/>
                <w:rFonts w:cstheme="minorHAnsi"/>
                <w:b/>
                <w:i w:val="0"/>
                <w:color w:val="000000"/>
              </w:rPr>
            </w:pPr>
            <w:r>
              <w:rPr>
                <w:rStyle w:val="Emphasis"/>
                <w:rFonts w:cstheme="minorHAnsi"/>
                <w:b/>
                <w:i w:val="0"/>
                <w:color w:val="000000"/>
              </w:rPr>
              <w:t>alectinib</w:t>
            </w:r>
          </w:p>
          <w:p w14:paraId="56390515" w14:textId="77777777" w:rsidR="00F81361" w:rsidRDefault="00F81361" w:rsidP="009C0297">
            <w:pPr>
              <w:rPr>
                <w:rStyle w:val="Emphasis"/>
                <w:rFonts w:cstheme="minorHAnsi"/>
                <w:b/>
                <w:i w:val="0"/>
                <w:color w:val="000000"/>
              </w:rPr>
            </w:pPr>
          </w:p>
          <w:p w14:paraId="6484D842" w14:textId="77777777" w:rsidR="00F81361" w:rsidRDefault="00F81361" w:rsidP="009C0297">
            <w:pPr>
              <w:rPr>
                <w:rStyle w:val="Emphasis"/>
                <w:rFonts w:cstheme="minorHAnsi"/>
                <w:i w:val="0"/>
                <w:color w:val="000000"/>
              </w:rPr>
            </w:pPr>
            <w:r>
              <w:rPr>
                <w:rStyle w:val="Emphasis"/>
                <w:rFonts w:cstheme="minorHAnsi"/>
                <w:i w:val="0"/>
                <w:color w:val="000000"/>
              </w:rPr>
              <w:t>Alecensa</w:t>
            </w:r>
          </w:p>
          <w:p w14:paraId="57694FD1" w14:textId="77777777" w:rsidR="00F81361" w:rsidRDefault="00F81361" w:rsidP="009C0297">
            <w:pPr>
              <w:rPr>
                <w:rStyle w:val="Emphasis"/>
                <w:rFonts w:cstheme="minorHAnsi"/>
                <w:i w:val="0"/>
                <w:color w:val="000000"/>
              </w:rPr>
            </w:pPr>
          </w:p>
          <w:p w14:paraId="7E27D7B8" w14:textId="77777777" w:rsidR="00F81361" w:rsidRDefault="00F81361" w:rsidP="009C0297">
            <w:pPr>
              <w:rPr>
                <w:rStyle w:val="Emphasis"/>
                <w:rFonts w:cstheme="minorHAnsi"/>
                <w:i w:val="0"/>
                <w:color w:val="000000"/>
              </w:rPr>
            </w:pPr>
            <w:r>
              <w:rPr>
                <w:rStyle w:val="Emphasis"/>
                <w:rFonts w:cstheme="minorHAnsi"/>
                <w:i w:val="0"/>
                <w:color w:val="000000"/>
              </w:rPr>
              <w:t>CMA 16/02/17</w:t>
            </w:r>
          </w:p>
          <w:p w14:paraId="598BA308" w14:textId="77777777" w:rsidR="00F81361" w:rsidRDefault="00F81361" w:rsidP="009C0297">
            <w:pPr>
              <w:rPr>
                <w:rStyle w:val="Emphasis"/>
                <w:rFonts w:cstheme="minorHAnsi"/>
                <w:i w:val="0"/>
                <w:color w:val="000000"/>
              </w:rPr>
            </w:pPr>
          </w:p>
          <w:p w14:paraId="5CFA470A" w14:textId="77777777" w:rsidR="00F81361" w:rsidRPr="00F81361" w:rsidRDefault="00F81361" w:rsidP="009C0297">
            <w:pPr>
              <w:rPr>
                <w:rStyle w:val="Emphasis"/>
                <w:rFonts w:cstheme="minorHAnsi"/>
                <w:i w:val="0"/>
                <w:color w:val="000000"/>
              </w:rPr>
            </w:pPr>
            <w:r>
              <w:t>EMA/197343/2017</w:t>
            </w:r>
          </w:p>
        </w:tc>
        <w:tc>
          <w:tcPr>
            <w:tcW w:w="3093" w:type="dxa"/>
          </w:tcPr>
          <w:p w14:paraId="0884425F" w14:textId="77777777" w:rsidR="009C0297" w:rsidRDefault="006F0418" w:rsidP="009C0297">
            <w:r>
              <w:t>Alecensa as monotherapy is indicated for the treatment of adult patients with anaplastic lymphoma kinase (ALK) positive advanced non-small cell lung cancer (NSCLC) previously treated with crizotinib</w:t>
            </w:r>
          </w:p>
        </w:tc>
        <w:tc>
          <w:tcPr>
            <w:tcW w:w="3926" w:type="dxa"/>
          </w:tcPr>
          <w:p w14:paraId="54F2F407" w14:textId="77777777" w:rsidR="009C0297" w:rsidRDefault="00C27337" w:rsidP="009C0297">
            <w:r>
              <w:t>NP28761 Phase I/II Pivotal: ORR (IRC assessed) - Proportion of patients achieving confirmed CR or PR</w:t>
            </w:r>
          </w:p>
          <w:p w14:paraId="07888F42" w14:textId="77777777" w:rsidR="00C27337" w:rsidRDefault="00C27337" w:rsidP="009C0297"/>
          <w:p w14:paraId="1CEC7ADF" w14:textId="77777777" w:rsidR="00C27337" w:rsidRDefault="00C27337" w:rsidP="009C0297">
            <w:r>
              <w:t>NP28673 Phase I/II Pivotal: ORR as per central IRC using RECIST v1.1 in the overall population (with and without prior exposure of cytotoxic chemotherapy treatments). • ORR as per central IRC using RECIST v1.1 in patients with prior exposure of cytotoxic chemotherapy treatments.</w:t>
            </w:r>
          </w:p>
          <w:p w14:paraId="373270B7" w14:textId="77777777" w:rsidR="00C27337" w:rsidRDefault="00C27337" w:rsidP="009C0297"/>
          <w:p w14:paraId="251ADCB2" w14:textId="77777777" w:rsidR="00C27337" w:rsidRDefault="00C27337" w:rsidP="009C0297">
            <w:pPr>
              <w:rPr>
                <w:rFonts w:cstheme="minorHAnsi"/>
                <w:color w:val="212121"/>
                <w:shd w:val="clear" w:color="auto" w:fill="FFFFFF"/>
              </w:rPr>
            </w:pPr>
            <w:r>
              <w:t xml:space="preserve">AF-001JP Phase I/II Supportive: </w:t>
            </w:r>
            <w:r w:rsidRPr="00C27337">
              <w:rPr>
                <w:rFonts w:cstheme="minorHAnsi"/>
                <w:color w:val="212121"/>
                <w:shd w:val="clear" w:color="auto" w:fill="FFFFFF"/>
              </w:rPr>
              <w:t>The primary endpoint of the phase 2 was the proportion of patients who had an objective response.</w:t>
            </w:r>
          </w:p>
          <w:p w14:paraId="129165B2" w14:textId="77777777" w:rsidR="00C27337" w:rsidRDefault="00C27337" w:rsidP="009C0297">
            <w:pPr>
              <w:rPr>
                <w:rFonts w:cstheme="minorHAnsi"/>
                <w:color w:val="212121"/>
                <w:shd w:val="clear" w:color="auto" w:fill="FFFFFF"/>
              </w:rPr>
            </w:pPr>
          </w:p>
          <w:p w14:paraId="6EF706A6" w14:textId="77777777" w:rsidR="00C27337" w:rsidRDefault="00C27337" w:rsidP="009C0297">
            <w:r>
              <w:t>JO28928 Phase III Supportive: Ongoing</w:t>
            </w:r>
          </w:p>
        </w:tc>
        <w:tc>
          <w:tcPr>
            <w:tcW w:w="1932" w:type="dxa"/>
          </w:tcPr>
          <w:p w14:paraId="15C6F5DC" w14:textId="77777777" w:rsidR="009C0297" w:rsidRDefault="00C27337" w:rsidP="009C0297">
            <w:r>
              <w:t>Yes:</w:t>
            </w:r>
          </w:p>
          <w:p w14:paraId="0CD2AD9A" w14:textId="77777777" w:rsidR="00C27337" w:rsidRDefault="00C27337" w:rsidP="009C0297"/>
          <w:p w14:paraId="095A94A9" w14:textId="77777777" w:rsidR="00C27337" w:rsidRDefault="00C27337" w:rsidP="009C0297">
            <w:r>
              <w:t>Objective response rate (pivotal)</w:t>
            </w:r>
          </w:p>
        </w:tc>
      </w:tr>
      <w:tr w:rsidR="009C0297" w14:paraId="7930BBA6" w14:textId="77777777" w:rsidTr="009C0297">
        <w:tc>
          <w:tcPr>
            <w:tcW w:w="2673" w:type="dxa"/>
          </w:tcPr>
          <w:p w14:paraId="41D14CD6" w14:textId="77777777" w:rsidR="009C0297" w:rsidRDefault="00F81361" w:rsidP="009C0297">
            <w:pPr>
              <w:rPr>
                <w:rStyle w:val="Emphasis"/>
                <w:rFonts w:cstheme="minorHAnsi"/>
                <w:b/>
                <w:i w:val="0"/>
                <w:color w:val="000000"/>
              </w:rPr>
            </w:pPr>
            <w:r>
              <w:rPr>
                <w:rStyle w:val="Emphasis"/>
                <w:rFonts w:cstheme="minorHAnsi"/>
                <w:b/>
                <w:i w:val="0"/>
                <w:color w:val="000000"/>
              </w:rPr>
              <w:t>darunavir</w:t>
            </w:r>
          </w:p>
          <w:p w14:paraId="157D8DE1" w14:textId="77777777" w:rsidR="00F81361" w:rsidRDefault="00F81361" w:rsidP="009C0297">
            <w:pPr>
              <w:rPr>
                <w:rStyle w:val="Emphasis"/>
                <w:rFonts w:cstheme="minorHAnsi"/>
                <w:b/>
                <w:i w:val="0"/>
                <w:color w:val="000000"/>
              </w:rPr>
            </w:pPr>
          </w:p>
          <w:p w14:paraId="0CB8A5F1" w14:textId="77777777" w:rsidR="00F81361" w:rsidRDefault="00F81361" w:rsidP="009C0297">
            <w:pPr>
              <w:rPr>
                <w:rStyle w:val="Emphasis"/>
                <w:rFonts w:cstheme="minorHAnsi"/>
                <w:i w:val="0"/>
                <w:color w:val="000000"/>
              </w:rPr>
            </w:pPr>
            <w:r>
              <w:rPr>
                <w:rStyle w:val="Emphasis"/>
                <w:rFonts w:cstheme="minorHAnsi"/>
                <w:i w:val="0"/>
                <w:color w:val="000000"/>
              </w:rPr>
              <w:t>Prezista</w:t>
            </w:r>
          </w:p>
          <w:p w14:paraId="22C2C0AE" w14:textId="77777777" w:rsidR="00F81361" w:rsidRDefault="00F81361" w:rsidP="009C0297">
            <w:pPr>
              <w:rPr>
                <w:rStyle w:val="Emphasis"/>
                <w:rFonts w:cstheme="minorHAnsi"/>
                <w:i w:val="0"/>
                <w:color w:val="000000"/>
              </w:rPr>
            </w:pPr>
          </w:p>
          <w:p w14:paraId="24669A8B" w14:textId="77777777" w:rsidR="00F81361" w:rsidRPr="00F81361" w:rsidRDefault="00F81361" w:rsidP="009C0297">
            <w:pPr>
              <w:rPr>
                <w:rStyle w:val="Emphasis"/>
                <w:rFonts w:cstheme="minorHAnsi"/>
                <w:i w:val="0"/>
                <w:color w:val="000000"/>
              </w:rPr>
            </w:pPr>
            <w:r>
              <w:rPr>
                <w:rStyle w:val="Emphasis"/>
                <w:rFonts w:cstheme="minorHAnsi"/>
                <w:i w:val="0"/>
                <w:color w:val="000000"/>
              </w:rPr>
              <w:t>CMA 12/02/07</w:t>
            </w:r>
          </w:p>
        </w:tc>
        <w:tc>
          <w:tcPr>
            <w:tcW w:w="3093" w:type="dxa"/>
          </w:tcPr>
          <w:p w14:paraId="0F439D57" w14:textId="77777777" w:rsidR="009C0297" w:rsidRDefault="006F0418" w:rsidP="009C0297">
            <w:r>
              <w:t>PREZISTA, co-administered with 100 mg ritonavir in combination with other antiretroviral medicinal products for the treatment of human immunodeficiency virus (HIV-1) infection in highly pre-treated adult patients who failed more than one regimen containing a protease inhibitor (PI)</w:t>
            </w:r>
          </w:p>
        </w:tc>
        <w:tc>
          <w:tcPr>
            <w:tcW w:w="3926" w:type="dxa"/>
          </w:tcPr>
          <w:p w14:paraId="2FF7DA17" w14:textId="77777777" w:rsidR="00F81361" w:rsidRDefault="00F81361" w:rsidP="00F81361">
            <w:r>
              <w:t>No Public Assessment Report, used Scientific Discussion report.</w:t>
            </w:r>
          </w:p>
          <w:p w14:paraId="527662C5" w14:textId="77777777" w:rsidR="009C0297" w:rsidRDefault="009C0297" w:rsidP="009C0297"/>
          <w:p w14:paraId="22B8052C" w14:textId="77777777" w:rsidR="006F0418" w:rsidRDefault="006F0418" w:rsidP="009C0297">
            <w:r>
              <w:t xml:space="preserve">TMC-114-C202, TMC-114-C213 Phase IIb Pivotal: Following amendment of the objective of the studies, the primary endpoint was switched from change in viral load from baseline, to virologic response defined as at least 1.0 log10 </w:t>
            </w:r>
            <w:r>
              <w:lastRenderedPageBreak/>
              <w:t>decrease in viral load versus baseline at week 24.</w:t>
            </w:r>
          </w:p>
          <w:p w14:paraId="08AB2827" w14:textId="77777777" w:rsidR="006F0418" w:rsidRDefault="006F0418" w:rsidP="009C0297"/>
          <w:p w14:paraId="2930185E" w14:textId="77777777" w:rsidR="006F0418" w:rsidRDefault="006F0418" w:rsidP="009C0297">
            <w:r>
              <w:t>C208, C215 Phase IIb Supportive: Primary changed from efficacy to safety</w:t>
            </w:r>
          </w:p>
        </w:tc>
        <w:tc>
          <w:tcPr>
            <w:tcW w:w="1932" w:type="dxa"/>
          </w:tcPr>
          <w:p w14:paraId="35238A77" w14:textId="77777777" w:rsidR="009C0297" w:rsidRDefault="006F0418" w:rsidP="009C0297">
            <w:r>
              <w:lastRenderedPageBreak/>
              <w:t>Yes:</w:t>
            </w:r>
          </w:p>
          <w:p w14:paraId="2F83D98A" w14:textId="77777777" w:rsidR="006F0418" w:rsidRDefault="006F0418" w:rsidP="009C0297"/>
          <w:p w14:paraId="703D4298" w14:textId="77777777" w:rsidR="006F0418" w:rsidRDefault="006F0418" w:rsidP="009C0297">
            <w:r>
              <w:t>At least 1 log decrease in viral load (pivotal)</w:t>
            </w:r>
          </w:p>
        </w:tc>
      </w:tr>
    </w:tbl>
    <w:p w14:paraId="5D9BC803" w14:textId="77777777" w:rsidR="00D35916" w:rsidRDefault="00D35916">
      <w:pPr>
        <w:rPr>
          <w:b/>
        </w:rPr>
      </w:pPr>
    </w:p>
    <w:p w14:paraId="3C550CE8" w14:textId="77777777" w:rsidR="006F2DC7" w:rsidRDefault="006F2DC7">
      <w:pPr>
        <w:rPr>
          <w:b/>
        </w:rPr>
      </w:pPr>
    </w:p>
    <w:p w14:paraId="25DCF6C0" w14:textId="77777777" w:rsidR="00DD61BA" w:rsidRDefault="00DD61BA">
      <w:pPr>
        <w:rPr>
          <w:b/>
        </w:rPr>
      </w:pPr>
    </w:p>
    <w:p w14:paraId="28F2EEC1" w14:textId="77777777" w:rsidR="00DD61BA" w:rsidRDefault="00DD61BA">
      <w:pPr>
        <w:rPr>
          <w:b/>
        </w:rPr>
      </w:pPr>
    </w:p>
    <w:p w14:paraId="0ABE3523" w14:textId="77777777" w:rsidR="00D35916" w:rsidRDefault="00D35916">
      <w:pPr>
        <w:rPr>
          <w:b/>
        </w:rPr>
      </w:pPr>
    </w:p>
    <w:p w14:paraId="3E093D15" w14:textId="77777777" w:rsidR="00D35916" w:rsidRDefault="00D35916">
      <w:pPr>
        <w:rPr>
          <w:b/>
        </w:rPr>
      </w:pPr>
    </w:p>
    <w:p w14:paraId="03791F68" w14:textId="77777777" w:rsidR="00D35916" w:rsidRDefault="00D35916">
      <w:pPr>
        <w:rPr>
          <w:b/>
        </w:rPr>
      </w:pPr>
    </w:p>
    <w:p w14:paraId="58B684EA" w14:textId="77777777" w:rsidR="00D35916" w:rsidRDefault="00D35916">
      <w:pPr>
        <w:rPr>
          <w:b/>
        </w:rPr>
      </w:pPr>
    </w:p>
    <w:p w14:paraId="6D15DE52" w14:textId="77777777" w:rsidR="00D35916" w:rsidRDefault="00D35916">
      <w:pPr>
        <w:rPr>
          <w:b/>
        </w:rPr>
      </w:pPr>
    </w:p>
    <w:p w14:paraId="7AFEDD68" w14:textId="77777777" w:rsidR="00D35916" w:rsidRDefault="00D35916">
      <w:pPr>
        <w:rPr>
          <w:b/>
        </w:rPr>
      </w:pPr>
    </w:p>
    <w:p w14:paraId="1E80D518" w14:textId="77777777" w:rsidR="004123F4" w:rsidRPr="004123F4" w:rsidRDefault="004123F4">
      <w:pPr>
        <w:rPr>
          <w:b/>
        </w:rPr>
      </w:pPr>
    </w:p>
    <w:sectPr w:rsidR="004123F4" w:rsidRPr="004123F4" w:rsidSect="00A242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7C0"/>
    <w:multiLevelType w:val="hybridMultilevel"/>
    <w:tmpl w:val="E57EA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C5BBE"/>
    <w:multiLevelType w:val="hybridMultilevel"/>
    <w:tmpl w:val="18B07754"/>
    <w:lvl w:ilvl="0" w:tplc="84A636F0">
      <w:start w:val="40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2FD"/>
    <w:rsid w:val="00015E63"/>
    <w:rsid w:val="0004319B"/>
    <w:rsid w:val="00047528"/>
    <w:rsid w:val="00086C4D"/>
    <w:rsid w:val="000A15AD"/>
    <w:rsid w:val="000B75B6"/>
    <w:rsid w:val="0013269F"/>
    <w:rsid w:val="00161203"/>
    <w:rsid w:val="001A07E7"/>
    <w:rsid w:val="001B495F"/>
    <w:rsid w:val="001D1CCB"/>
    <w:rsid w:val="001F4D70"/>
    <w:rsid w:val="00221354"/>
    <w:rsid w:val="00226D12"/>
    <w:rsid w:val="002E234B"/>
    <w:rsid w:val="002F19A2"/>
    <w:rsid w:val="00305BCD"/>
    <w:rsid w:val="00313BFE"/>
    <w:rsid w:val="003722EC"/>
    <w:rsid w:val="003960DA"/>
    <w:rsid w:val="003D5E73"/>
    <w:rsid w:val="003E3E6B"/>
    <w:rsid w:val="004123F4"/>
    <w:rsid w:val="00417650"/>
    <w:rsid w:val="004755AB"/>
    <w:rsid w:val="004B1318"/>
    <w:rsid w:val="004B3B99"/>
    <w:rsid w:val="004B591B"/>
    <w:rsid w:val="00500AC5"/>
    <w:rsid w:val="00503688"/>
    <w:rsid w:val="005376AE"/>
    <w:rsid w:val="0054489A"/>
    <w:rsid w:val="005A0EE7"/>
    <w:rsid w:val="005C69F0"/>
    <w:rsid w:val="006201A5"/>
    <w:rsid w:val="0068346E"/>
    <w:rsid w:val="006E7004"/>
    <w:rsid w:val="006F0418"/>
    <w:rsid w:val="006F2DC7"/>
    <w:rsid w:val="00712C27"/>
    <w:rsid w:val="007356D9"/>
    <w:rsid w:val="007371B3"/>
    <w:rsid w:val="00771907"/>
    <w:rsid w:val="00772F18"/>
    <w:rsid w:val="007A5ABA"/>
    <w:rsid w:val="007F118E"/>
    <w:rsid w:val="007F623C"/>
    <w:rsid w:val="00844948"/>
    <w:rsid w:val="00897010"/>
    <w:rsid w:val="008A65A2"/>
    <w:rsid w:val="008D1DFF"/>
    <w:rsid w:val="00901111"/>
    <w:rsid w:val="00947FBD"/>
    <w:rsid w:val="0097483A"/>
    <w:rsid w:val="009803E8"/>
    <w:rsid w:val="009B135D"/>
    <w:rsid w:val="009C0297"/>
    <w:rsid w:val="00A10383"/>
    <w:rsid w:val="00A163AD"/>
    <w:rsid w:val="00A242FD"/>
    <w:rsid w:val="00A32298"/>
    <w:rsid w:val="00AA46A4"/>
    <w:rsid w:val="00AC04B5"/>
    <w:rsid w:val="00AC4FB9"/>
    <w:rsid w:val="00B209BE"/>
    <w:rsid w:val="00B81AD2"/>
    <w:rsid w:val="00BC47AC"/>
    <w:rsid w:val="00BD5E90"/>
    <w:rsid w:val="00BE0A48"/>
    <w:rsid w:val="00C1651F"/>
    <w:rsid w:val="00C27337"/>
    <w:rsid w:val="00D31ECA"/>
    <w:rsid w:val="00D35916"/>
    <w:rsid w:val="00D50F5B"/>
    <w:rsid w:val="00D55A22"/>
    <w:rsid w:val="00D569B7"/>
    <w:rsid w:val="00D63E51"/>
    <w:rsid w:val="00DC0791"/>
    <w:rsid w:val="00DD61BA"/>
    <w:rsid w:val="00DE6FBA"/>
    <w:rsid w:val="00E40408"/>
    <w:rsid w:val="00E4237E"/>
    <w:rsid w:val="00E441BC"/>
    <w:rsid w:val="00E71A31"/>
    <w:rsid w:val="00E87375"/>
    <w:rsid w:val="00EA07EA"/>
    <w:rsid w:val="00EB149D"/>
    <w:rsid w:val="00ED44ED"/>
    <w:rsid w:val="00F01547"/>
    <w:rsid w:val="00F30553"/>
    <w:rsid w:val="00F31331"/>
    <w:rsid w:val="00F70954"/>
    <w:rsid w:val="00F76898"/>
    <w:rsid w:val="00F81361"/>
    <w:rsid w:val="00FA2707"/>
    <w:rsid w:val="00FA73B8"/>
    <w:rsid w:val="00FB2EC9"/>
    <w:rsid w:val="00FD0353"/>
    <w:rsid w:val="00FE02C6"/>
    <w:rsid w:val="00FE6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F309"/>
  <w15:chartTrackingRefBased/>
  <w15:docId w15:val="{CCB1B351-8D78-4A69-AFF7-3338303E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75B6"/>
    <w:rPr>
      <w:i/>
      <w:iCs/>
    </w:rPr>
  </w:style>
  <w:style w:type="character" w:styleId="Hyperlink">
    <w:name w:val="Hyperlink"/>
    <w:basedOn w:val="DefaultParagraphFont"/>
    <w:uiPriority w:val="99"/>
    <w:unhideWhenUsed/>
    <w:rsid w:val="00E71A31"/>
    <w:rPr>
      <w:color w:val="0563C1" w:themeColor="hyperlink"/>
      <w:u w:val="single"/>
    </w:rPr>
  </w:style>
  <w:style w:type="paragraph" w:styleId="ListParagraph">
    <w:name w:val="List Paragraph"/>
    <w:basedOn w:val="Normal"/>
    <w:uiPriority w:val="34"/>
    <w:qFormat/>
    <w:rsid w:val="00947FBD"/>
    <w:pPr>
      <w:ind w:left="720"/>
      <w:contextualSpacing/>
    </w:pPr>
  </w:style>
  <w:style w:type="paragraph" w:styleId="NoSpacing">
    <w:name w:val="No Spacing"/>
    <w:uiPriority w:val="1"/>
    <w:qFormat/>
    <w:rsid w:val="00D359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70131">
      <w:bodyDiv w:val="1"/>
      <w:marLeft w:val="0"/>
      <w:marRight w:val="0"/>
      <w:marTop w:val="0"/>
      <w:marBottom w:val="0"/>
      <w:divBdr>
        <w:top w:val="none" w:sz="0" w:space="0" w:color="auto"/>
        <w:left w:val="none" w:sz="0" w:space="0" w:color="auto"/>
        <w:bottom w:val="none" w:sz="0" w:space="0" w:color="auto"/>
        <w:right w:val="none" w:sz="0" w:space="0" w:color="auto"/>
      </w:divBdr>
      <w:divsChild>
        <w:div w:id="525098248">
          <w:marLeft w:val="0"/>
          <w:marRight w:val="0"/>
          <w:marTop w:val="0"/>
          <w:marBottom w:val="0"/>
          <w:divBdr>
            <w:top w:val="none" w:sz="0" w:space="0" w:color="auto"/>
            <w:left w:val="none" w:sz="0" w:space="0" w:color="auto"/>
            <w:bottom w:val="none" w:sz="0" w:space="0" w:color="auto"/>
            <w:right w:val="none" w:sz="0" w:space="0" w:color="auto"/>
          </w:divBdr>
          <w:divsChild>
            <w:div w:id="8102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050">
      <w:bodyDiv w:val="1"/>
      <w:marLeft w:val="0"/>
      <w:marRight w:val="0"/>
      <w:marTop w:val="0"/>
      <w:marBottom w:val="0"/>
      <w:divBdr>
        <w:top w:val="none" w:sz="0" w:space="0" w:color="auto"/>
        <w:left w:val="none" w:sz="0" w:space="0" w:color="auto"/>
        <w:bottom w:val="none" w:sz="0" w:space="0" w:color="auto"/>
        <w:right w:val="none" w:sz="0" w:space="0" w:color="auto"/>
      </w:divBdr>
      <w:divsChild>
        <w:div w:id="1827236649">
          <w:marLeft w:val="0"/>
          <w:marRight w:val="0"/>
          <w:marTop w:val="0"/>
          <w:marBottom w:val="0"/>
          <w:divBdr>
            <w:top w:val="none" w:sz="0" w:space="0" w:color="auto"/>
            <w:left w:val="none" w:sz="0" w:space="0" w:color="auto"/>
            <w:bottom w:val="none" w:sz="0" w:space="0" w:color="auto"/>
            <w:right w:val="none" w:sz="0" w:space="0" w:color="auto"/>
          </w:divBdr>
          <w:divsChild>
            <w:div w:id="10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574AC-9553-44D5-B779-11708BB3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5347</TotalTime>
  <Pages>20</Pages>
  <Words>8137</Words>
  <Characters>45735</Characters>
  <Application>Microsoft Office Word</Application>
  <DocSecurity>0</DocSecurity>
  <Lines>672</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Pok</dc:creator>
  <cp:keywords/>
  <dc:description/>
  <cp:lastModifiedBy>Pok Lo</cp:lastModifiedBy>
  <cp:revision>98</cp:revision>
  <dcterms:created xsi:type="dcterms:W3CDTF">2021-07-13T15:36:00Z</dcterms:created>
  <dcterms:modified xsi:type="dcterms:W3CDTF">2024-08-14T16:26:00Z</dcterms:modified>
</cp:coreProperties>
</file>