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val="0"/>
          <w:i w:val="0"/>
        </w:rPr>
        <w:t>Acceptance Criteria Evaluation</w:t>
      </w:r>
    </w:p>
    <w:p>
      <w:pPr>
        <w:pStyle w:val="Heading2"/>
      </w:pPr>
      <w:r>
        <w:rPr>
          <w:rFonts w:ascii="Calibri" w:hAnsi="Calibri"/>
          <w:b w:val="0"/>
          <w:i w:val="0"/>
        </w:rPr>
        <w:t>HPAS referral pathway - Camunda 8 implementation</w:t>
      </w:r>
    </w:p>
    <w:p>
      <w:pPr>
        <w:spacing w:after="40"/>
      </w:pPr>
      <w:r>
        <w:rPr>
          <w:rFonts w:ascii="Calibri" w:hAnsi="Calibri"/>
          <w:b w:val="0"/>
          <w:i/>
        </w:rPr>
        <w:t>Business Process Modelling and Enterprise Architecture - Full Portfolio</w:t>
      </w:r>
    </w:p>
    <w:p>
      <w:pPr>
        <w:spacing w:after="160"/>
      </w:pPr>
      <w:r>
        <w:rPr>
          <w:rFonts w:ascii="Calibri" w:hAnsi="Calibri"/>
          <w:b w:val="0"/>
          <w:i w:val="0"/>
        </w:rPr>
        <w:t>This document records the acceptance criteria for the first release and for the revised release, the tests that were actually run, the failures that were found, and a reasoned evaluation of the outcome.</w:t>
      </w:r>
    </w:p>
    <w:p>
      <w:pPr>
        <w:pStyle w:val="Heading1"/>
      </w:pPr>
      <w:r>
        <w:t>1. Purpose</w:t>
      </w:r>
    </w:p>
    <w:p>
      <w:r>
        <w:rPr>
          <w:rFonts w:ascii="Calibri" w:hAnsi="Calibri"/>
          <w:b w:val="0"/>
          <w:i w:val="0"/>
        </w:rPr>
        <w:t>To state what the system had to do before it could be accepted, to report what was tested and what happened, and to judge - on evidence, not assertion - whether the revised release meets its criteria. Failures and limitations are reported rather than omitted.</w:t>
      </w:r>
    </w:p>
    <w:p>
      <w:pPr>
        <w:pStyle w:val="Heading1"/>
      </w:pPr>
      <w:r>
        <w:t>2. Acceptance criteria</w:t>
      </w:r>
    </w:p>
    <w:p>
      <w:pPr>
        <w:pStyle w:val="Heading2"/>
      </w:pPr>
      <w:r>
        <w:t>2.1 First release</w:t>
      </w:r>
    </w:p>
    <w:tbl>
      <w:tblPr>
        <w:tblStyle w:val="TableGrid"/>
        <w:tblW w:type="auto" w:w="0"/>
        <w:jc w:val="center"/>
        <w:tblLook w:firstColumn="1" w:firstRow="1" w:lastColumn="0" w:lastRow="0" w:noHBand="0" w:noVBand="1" w:val="04A0"/>
      </w:tblPr>
      <w:tblGrid>
        <w:gridCol w:w="3213"/>
        <w:gridCol w:w="3213"/>
        <w:gridCol w:w="3213"/>
      </w:tblGrid>
      <w:tr>
        <w:tc>
          <w:tcPr>
            <w:tcW w:type="dxa" w:w="1020"/>
          </w:tcPr>
          <w:p>
            <w:r/>
            <w:r>
              <w:rPr>
                <w:rFonts w:ascii="Calibri" w:hAnsi="Calibri"/>
                <w:b/>
                <w:sz w:val="15"/>
              </w:rPr>
              <w:t>ID</w:t>
            </w:r>
          </w:p>
        </w:tc>
        <w:tc>
          <w:tcPr>
            <w:tcW w:type="dxa" w:w="6576"/>
          </w:tcPr>
          <w:p>
            <w:r/>
            <w:r>
              <w:rPr>
                <w:rFonts w:ascii="Calibri" w:hAnsi="Calibri"/>
                <w:b/>
                <w:sz w:val="15"/>
              </w:rPr>
              <w:t>Criterion</w:t>
            </w:r>
          </w:p>
        </w:tc>
        <w:tc>
          <w:tcPr>
            <w:tcW w:type="dxa" w:w="2041"/>
          </w:tcPr>
          <w:p>
            <w:r/>
            <w:r>
              <w:rPr>
                <w:rFonts w:ascii="Calibri" w:hAnsi="Calibri"/>
                <w:b/>
                <w:sz w:val="15"/>
              </w:rPr>
              <w:t>Type</w:t>
            </w:r>
          </w:p>
        </w:tc>
      </w:tr>
      <w:tr>
        <w:tc>
          <w:tcPr>
            <w:tcW w:type="dxa" w:w="1020"/>
          </w:tcPr>
          <w:p>
            <w:r/>
            <w:r>
              <w:rPr>
                <w:rFonts w:ascii="Calibri" w:hAnsi="Calibri"/>
                <w:sz w:val="15"/>
              </w:rPr>
              <w:t>AC-A1</w:t>
            </w:r>
          </w:p>
        </w:tc>
        <w:tc>
          <w:tcPr>
            <w:tcW w:type="dxa" w:w="6576"/>
          </w:tcPr>
          <w:p>
            <w:r/>
            <w:r>
              <w:rPr>
                <w:rFonts w:ascii="Calibri" w:hAnsi="Calibri"/>
                <w:sz w:val="15"/>
              </w:rPr>
              <w:t>All BPMN models deploy to the Camunda cluster without errors</w:t>
            </w:r>
          </w:p>
        </w:tc>
        <w:tc>
          <w:tcPr>
            <w:tcW w:type="dxa" w:w="2041"/>
          </w:tcPr>
          <w:p>
            <w:r/>
            <w:r>
              <w:rPr>
                <w:rFonts w:ascii="Calibri" w:hAnsi="Calibri"/>
                <w:sz w:val="15"/>
              </w:rPr>
              <w:t>Functional</w:t>
            </w:r>
          </w:p>
        </w:tc>
      </w:tr>
      <w:tr>
        <w:tc>
          <w:tcPr>
            <w:tcW w:type="dxa" w:w="1020"/>
          </w:tcPr>
          <w:p>
            <w:r/>
            <w:r>
              <w:rPr>
                <w:rFonts w:ascii="Calibri" w:hAnsi="Calibri"/>
                <w:sz w:val="15"/>
              </w:rPr>
              <w:t>AC-A2</w:t>
            </w:r>
          </w:p>
        </w:tc>
        <w:tc>
          <w:tcPr>
            <w:tcW w:type="dxa" w:w="6576"/>
          </w:tcPr>
          <w:p>
            <w:r/>
            <w:r>
              <w:rPr>
                <w:rFonts w:ascii="Calibri" w:hAnsi="Calibri"/>
                <w:sz w:val="15"/>
              </w:rPr>
              <w:t>A referral (P1) runs end to end through Tasklist without incidents</w:t>
            </w:r>
          </w:p>
        </w:tc>
        <w:tc>
          <w:tcPr>
            <w:tcW w:type="dxa" w:w="2041"/>
          </w:tcPr>
          <w:p>
            <w:r/>
            <w:r>
              <w:rPr>
                <w:rFonts w:ascii="Calibri" w:hAnsi="Calibri"/>
                <w:sz w:val="15"/>
              </w:rPr>
              <w:t>Functional</w:t>
            </w:r>
          </w:p>
        </w:tc>
      </w:tr>
      <w:tr>
        <w:tc>
          <w:tcPr>
            <w:tcW w:type="dxa" w:w="1020"/>
          </w:tcPr>
          <w:p>
            <w:r/>
            <w:r>
              <w:rPr>
                <w:rFonts w:ascii="Calibri" w:hAnsi="Calibri"/>
                <w:sz w:val="15"/>
              </w:rPr>
              <w:t>AC-A3</w:t>
            </w:r>
          </w:p>
        </w:tc>
        <w:tc>
          <w:tcPr>
            <w:tcW w:type="dxa" w:w="6576"/>
          </w:tcPr>
          <w:p>
            <w:r/>
            <w:r>
              <w:rPr>
                <w:rFonts w:ascii="Calibri" w:hAnsi="Calibri"/>
                <w:sz w:val="15"/>
              </w:rPr>
              <w:t>Every user task shows its bound form and can be completed</w:t>
            </w:r>
          </w:p>
        </w:tc>
        <w:tc>
          <w:tcPr>
            <w:tcW w:type="dxa" w:w="2041"/>
          </w:tcPr>
          <w:p>
            <w:r/>
            <w:r>
              <w:rPr>
                <w:rFonts w:ascii="Calibri" w:hAnsi="Calibri"/>
                <w:sz w:val="15"/>
              </w:rPr>
              <w:t>Functional</w:t>
            </w:r>
          </w:p>
        </w:tc>
      </w:tr>
      <w:tr>
        <w:tc>
          <w:tcPr>
            <w:tcW w:type="dxa" w:w="1020"/>
          </w:tcPr>
          <w:p>
            <w:r/>
            <w:r>
              <w:rPr>
                <w:rFonts w:ascii="Calibri" w:hAnsi="Calibri"/>
                <w:sz w:val="15"/>
              </w:rPr>
              <w:t>AC-A4</w:t>
            </w:r>
          </w:p>
        </w:tc>
        <w:tc>
          <w:tcPr>
            <w:tcW w:type="dxa" w:w="6576"/>
          </w:tcPr>
          <w:p>
            <w:r/>
            <w:r>
              <w:rPr>
                <w:rFonts w:ascii="Calibri" w:hAnsi="Calibri"/>
                <w:sz w:val="15"/>
              </w:rPr>
              <w:t>Each branch of a decision gateway leads to the outcome intended for that option</w:t>
            </w:r>
          </w:p>
        </w:tc>
        <w:tc>
          <w:tcPr>
            <w:tcW w:type="dxa" w:w="2041"/>
          </w:tcPr>
          <w:p>
            <w:r/>
            <w:r>
              <w:rPr>
                <w:rFonts w:ascii="Calibri" w:hAnsi="Calibri"/>
                <w:sz w:val="15"/>
              </w:rPr>
              <w:t>Functional</w:t>
            </w:r>
          </w:p>
        </w:tc>
      </w:tr>
      <w:tr>
        <w:tc>
          <w:tcPr>
            <w:tcW w:type="dxa" w:w="1020"/>
          </w:tcPr>
          <w:p>
            <w:r/>
            <w:r>
              <w:rPr>
                <w:rFonts w:ascii="Calibri" w:hAnsi="Calibri"/>
                <w:sz w:val="15"/>
              </w:rPr>
              <w:t>AC-A5</w:t>
            </w:r>
          </w:p>
        </w:tc>
        <w:tc>
          <w:tcPr>
            <w:tcW w:type="dxa" w:w="6576"/>
          </w:tcPr>
          <w:p>
            <w:r/>
            <w:r>
              <w:rPr>
                <w:rFonts w:ascii="Calibri" w:hAnsi="Calibri"/>
                <w:sz w:val="15"/>
              </w:rPr>
              <w:t>Data entered in a form is visible to the following automated step</w:t>
            </w:r>
          </w:p>
        </w:tc>
        <w:tc>
          <w:tcPr>
            <w:tcW w:type="dxa" w:w="2041"/>
          </w:tcPr>
          <w:p>
            <w:r/>
            <w:r>
              <w:rPr>
                <w:rFonts w:ascii="Calibri" w:hAnsi="Calibri"/>
                <w:sz w:val="15"/>
              </w:rPr>
              <w:t>Functional</w:t>
            </w:r>
          </w:p>
        </w:tc>
      </w:tr>
      <w:tr>
        <w:tc>
          <w:tcPr>
            <w:tcW w:type="dxa" w:w="1020"/>
          </w:tcPr>
          <w:p>
            <w:r/>
            <w:r>
              <w:rPr>
                <w:rFonts w:ascii="Calibri" w:hAnsi="Calibri"/>
                <w:sz w:val="15"/>
              </w:rPr>
              <w:t>AC-A6</w:t>
            </w:r>
          </w:p>
        </w:tc>
        <w:tc>
          <w:tcPr>
            <w:tcW w:type="dxa" w:w="6576"/>
          </w:tcPr>
          <w:p>
            <w:r/>
            <w:r>
              <w:rPr>
                <w:rFonts w:ascii="Calibri" w:hAnsi="Calibri"/>
                <w:sz w:val="15"/>
              </w:rPr>
              <w:t>The package can be deployed from the repository as received</w:t>
            </w:r>
          </w:p>
        </w:tc>
        <w:tc>
          <w:tcPr>
            <w:tcW w:type="dxa" w:w="2041"/>
          </w:tcPr>
          <w:p>
            <w:r/>
            <w:r>
              <w:rPr>
                <w:rFonts w:ascii="Calibri" w:hAnsi="Calibri"/>
                <w:sz w:val="15"/>
              </w:rPr>
              <w:t>Operational</w:t>
            </w:r>
          </w:p>
        </w:tc>
      </w:tr>
      <w:tr>
        <w:tc>
          <w:tcPr>
            <w:tcW w:type="dxa" w:w="1020"/>
          </w:tcPr>
          <w:p>
            <w:r/>
            <w:r>
              <w:rPr>
                <w:rFonts w:ascii="Calibri" w:hAnsi="Calibri"/>
                <w:sz w:val="15"/>
              </w:rPr>
              <w:t>AC-A7</w:t>
            </w:r>
          </w:p>
        </w:tc>
        <w:tc>
          <w:tcPr>
            <w:tcW w:type="dxa" w:w="6576"/>
          </w:tcPr>
          <w:p>
            <w:r/>
            <w:r>
              <w:rPr>
                <w:rFonts w:ascii="Calibri" w:hAnsi="Calibri"/>
                <w:sz w:val="15"/>
              </w:rPr>
              <w:t>Every user task is restricted to the role that performs it</w:t>
            </w:r>
          </w:p>
        </w:tc>
        <w:tc>
          <w:tcPr>
            <w:tcW w:type="dxa" w:w="2041"/>
          </w:tcPr>
          <w:p>
            <w:r/>
            <w:r>
              <w:rPr>
                <w:rFonts w:ascii="Calibri" w:hAnsi="Calibri"/>
                <w:sz w:val="15"/>
              </w:rPr>
              <w:t>Non-functional</w:t>
            </w:r>
          </w:p>
        </w:tc>
      </w:tr>
    </w:tbl>
    <w:p>
      <w:pPr>
        <w:spacing w:after="40"/>
      </w:pPr>
    </w:p>
    <w:p>
      <w:pPr>
        <w:pStyle w:val="Heading2"/>
      </w:pPr>
      <w:r>
        <w:t>2.2 Revised release (after the five review points)</w:t>
      </w:r>
    </w:p>
    <w:p>
      <w:pPr>
        <w:spacing w:after="80"/>
      </w:pPr>
      <w:r>
        <w:rPr>
          <w:rFonts w:ascii="Calibri" w:hAnsi="Calibri"/>
          <w:b w:val="0"/>
          <w:i w:val="0"/>
        </w:rPr>
        <w:t>Criteria AC-A1 to AC-A7 remain in force. The following were added or strengthened in response to feedback; the right-hand column shows which review point prompted the change.</w:t>
      </w:r>
    </w:p>
    <w:tbl>
      <w:tblPr>
        <w:tblStyle w:val="TableGrid"/>
        <w:tblW w:type="auto" w:w="0"/>
        <w:jc w:val="center"/>
        <w:tblLook w:firstColumn="1" w:firstRow="1" w:lastColumn="0" w:lastRow="0" w:noHBand="0" w:noVBand="1" w:val="04A0"/>
      </w:tblPr>
      <w:tblGrid>
        <w:gridCol w:w="3213"/>
        <w:gridCol w:w="3213"/>
        <w:gridCol w:w="3213"/>
      </w:tblGrid>
      <w:tr>
        <w:tc>
          <w:tcPr>
            <w:tcW w:type="dxa" w:w="1020"/>
          </w:tcPr>
          <w:p>
            <w:r/>
            <w:r>
              <w:rPr>
                <w:rFonts w:ascii="Calibri" w:hAnsi="Calibri"/>
                <w:b/>
                <w:sz w:val="15"/>
              </w:rPr>
              <w:t>ID</w:t>
            </w:r>
          </w:p>
        </w:tc>
        <w:tc>
          <w:tcPr>
            <w:tcW w:type="dxa" w:w="6576"/>
          </w:tcPr>
          <w:p>
            <w:r/>
            <w:r>
              <w:rPr>
                <w:rFonts w:ascii="Calibri" w:hAnsi="Calibri"/>
                <w:b/>
                <w:sz w:val="15"/>
              </w:rPr>
              <w:t>Criterion</w:t>
            </w:r>
          </w:p>
        </w:tc>
        <w:tc>
          <w:tcPr>
            <w:tcW w:type="dxa" w:w="2041"/>
          </w:tcPr>
          <w:p>
            <w:r/>
            <w:r>
              <w:rPr>
                <w:rFonts w:ascii="Calibri" w:hAnsi="Calibri"/>
                <w:b/>
                <w:sz w:val="15"/>
              </w:rPr>
              <w:t>Origin</w:t>
            </w:r>
          </w:p>
        </w:tc>
      </w:tr>
      <w:tr>
        <w:tc>
          <w:tcPr>
            <w:tcW w:type="dxa" w:w="1020"/>
          </w:tcPr>
          <w:p>
            <w:r/>
            <w:r>
              <w:rPr>
                <w:rFonts w:ascii="Calibri" w:hAnsi="Calibri"/>
                <w:sz w:val="15"/>
              </w:rPr>
              <w:t>AC-B1</w:t>
            </w:r>
          </w:p>
        </w:tc>
        <w:tc>
          <w:tcPr>
            <w:tcW w:type="dxa" w:w="6576"/>
          </w:tcPr>
          <w:p>
            <w:r/>
            <w:r>
              <w:rPr>
                <w:rFonts w:ascii="Calibri" w:hAnsi="Calibri"/>
                <w:sz w:val="15"/>
              </w:rPr>
              <w:t>No task is reached by more than one incoming sequence flow without an explicit merging gateway</w:t>
            </w:r>
          </w:p>
        </w:tc>
        <w:tc>
          <w:tcPr>
            <w:tcW w:type="dxa" w:w="2041"/>
          </w:tcPr>
          <w:p>
            <w:r/>
            <w:r>
              <w:rPr>
                <w:rFonts w:ascii="Calibri" w:hAnsi="Calibri"/>
                <w:sz w:val="15"/>
              </w:rPr>
              <w:t>Feedback 1</w:t>
            </w:r>
          </w:p>
        </w:tc>
      </w:tr>
      <w:tr>
        <w:tc>
          <w:tcPr>
            <w:tcW w:type="dxa" w:w="1020"/>
          </w:tcPr>
          <w:p>
            <w:r/>
            <w:r>
              <w:rPr>
                <w:rFonts w:ascii="Calibri" w:hAnsi="Calibri"/>
                <w:sz w:val="15"/>
              </w:rPr>
              <w:t>AC-B2</w:t>
            </w:r>
          </w:p>
        </w:tc>
        <w:tc>
          <w:tcPr>
            <w:tcW w:type="dxa" w:w="6576"/>
          </w:tcPr>
          <w:p>
            <w:r/>
            <w:r>
              <w:rPr>
                <w:rFonts w:ascii="Calibri" w:hAnsi="Calibri"/>
                <w:sz w:val="15"/>
              </w:rPr>
              <w:t>A decision condition no longer fails when its form variable is missing or blank; the default path is taken</w:t>
            </w:r>
          </w:p>
        </w:tc>
        <w:tc>
          <w:tcPr>
            <w:tcW w:type="dxa" w:w="2041"/>
          </w:tcPr>
          <w:p>
            <w:r/>
            <w:r>
              <w:rPr>
                <w:rFonts w:ascii="Calibri" w:hAnsi="Calibri"/>
                <w:sz w:val="15"/>
              </w:rPr>
              <w:t>Feedback 2</w:t>
            </w:r>
          </w:p>
        </w:tc>
      </w:tr>
      <w:tr>
        <w:tc>
          <w:tcPr>
            <w:tcW w:type="dxa" w:w="1020"/>
          </w:tcPr>
          <w:p>
            <w:r/>
            <w:r>
              <w:rPr>
                <w:rFonts w:ascii="Calibri" w:hAnsi="Calibri"/>
                <w:sz w:val="15"/>
              </w:rPr>
              <w:t>AC-B3</w:t>
            </w:r>
          </w:p>
        </w:tc>
        <w:tc>
          <w:tcPr>
            <w:tcW w:type="dxa" w:w="6576"/>
          </w:tcPr>
          <w:p>
            <w:r/>
            <w:r>
              <w:rPr>
                <w:rFonts w:ascii="Calibri" w:hAnsi="Calibri"/>
                <w:sz w:val="15"/>
              </w:rPr>
              <w:t>Date comparisons are type-safe rather than string-based</w:t>
            </w:r>
          </w:p>
        </w:tc>
        <w:tc>
          <w:tcPr>
            <w:tcW w:type="dxa" w:w="2041"/>
          </w:tcPr>
          <w:p>
            <w:r/>
            <w:r>
              <w:rPr>
                <w:rFonts w:ascii="Calibri" w:hAnsi="Calibri"/>
                <w:sz w:val="15"/>
              </w:rPr>
              <w:t>Feedback 2</w:t>
            </w:r>
          </w:p>
        </w:tc>
      </w:tr>
      <w:tr>
        <w:tc>
          <w:tcPr>
            <w:tcW w:type="dxa" w:w="1020"/>
          </w:tcPr>
          <w:p>
            <w:r/>
            <w:r>
              <w:rPr>
                <w:rFonts w:ascii="Calibri" w:hAnsi="Calibri"/>
                <w:sz w:val="15"/>
              </w:rPr>
              <w:t>AC-B4</w:t>
            </w:r>
          </w:p>
        </w:tc>
        <w:tc>
          <w:tcPr>
            <w:tcW w:type="dxa" w:w="6576"/>
          </w:tcPr>
          <w:p>
            <w:r/>
            <w:r>
              <w:rPr>
                <w:rFonts w:ascii="Calibri" w:hAnsi="Calibri"/>
                <w:sz w:val="15"/>
              </w:rPr>
              <w:t>Form fields that need a rule carry one (required, pattern, range or length)</w:t>
            </w:r>
          </w:p>
        </w:tc>
        <w:tc>
          <w:tcPr>
            <w:tcW w:type="dxa" w:w="2041"/>
          </w:tcPr>
          <w:p>
            <w:r/>
            <w:r>
              <w:rPr>
                <w:rFonts w:ascii="Calibri" w:hAnsi="Calibri"/>
                <w:sz w:val="15"/>
              </w:rPr>
              <w:t>Feedback 3</w:t>
            </w:r>
          </w:p>
        </w:tc>
      </w:tr>
      <w:tr>
        <w:tc>
          <w:tcPr>
            <w:tcW w:type="dxa" w:w="1020"/>
          </w:tcPr>
          <w:p>
            <w:r/>
            <w:r>
              <w:rPr>
                <w:rFonts w:ascii="Calibri" w:hAnsi="Calibri"/>
                <w:sz w:val="15"/>
              </w:rPr>
              <w:t>AC-B5</w:t>
            </w:r>
          </w:p>
        </w:tc>
        <w:tc>
          <w:tcPr>
            <w:tcW w:type="dxa" w:w="6576"/>
          </w:tcPr>
          <w:p>
            <w:r/>
            <w:r>
              <w:rPr>
                <w:rFonts w:ascii="Calibri" w:hAnsi="Calibri"/>
                <w:sz w:val="15"/>
              </w:rPr>
              <w:t>Fields where a blank value is meaningful are deliberately left optional and this is documented</w:t>
            </w:r>
          </w:p>
        </w:tc>
        <w:tc>
          <w:tcPr>
            <w:tcW w:type="dxa" w:w="2041"/>
          </w:tcPr>
          <w:p>
            <w:r/>
            <w:r>
              <w:rPr>
                <w:rFonts w:ascii="Calibri" w:hAnsi="Calibri"/>
                <w:sz w:val="15"/>
              </w:rPr>
              <w:t>Feedback 3</w:t>
            </w:r>
          </w:p>
        </w:tc>
      </w:tr>
      <w:tr>
        <w:tc>
          <w:tcPr>
            <w:tcW w:type="dxa" w:w="1020"/>
          </w:tcPr>
          <w:p>
            <w:r/>
            <w:r>
              <w:rPr>
                <w:rFonts w:ascii="Calibri" w:hAnsi="Calibri"/>
                <w:sz w:val="15"/>
              </w:rPr>
              <w:t>AC-B6</w:t>
            </w:r>
          </w:p>
        </w:tc>
        <w:tc>
          <w:tcPr>
            <w:tcW w:type="dxa" w:w="6576"/>
          </w:tcPr>
          <w:p>
            <w:r/>
            <w:r>
              <w:rPr>
                <w:rFonts w:ascii="Calibri" w:hAnsi="Calibri"/>
                <w:sz w:val="15"/>
              </w:rPr>
              <w:t>Business data is persisted in a relational database (11 tables) rather than only in process variables</w:t>
            </w:r>
          </w:p>
        </w:tc>
        <w:tc>
          <w:tcPr>
            <w:tcW w:type="dxa" w:w="2041"/>
          </w:tcPr>
          <w:p>
            <w:r/>
            <w:r>
              <w:rPr>
                <w:rFonts w:ascii="Calibri" w:hAnsi="Calibri"/>
                <w:sz w:val="15"/>
              </w:rPr>
              <w:t>Feedback 4</w:t>
            </w:r>
          </w:p>
        </w:tc>
      </w:tr>
      <w:tr>
        <w:tc>
          <w:tcPr>
            <w:tcW w:type="dxa" w:w="1020"/>
          </w:tcPr>
          <w:p>
            <w:r/>
            <w:r>
              <w:rPr>
                <w:rFonts w:ascii="Calibri" w:hAnsi="Calibri"/>
                <w:sz w:val="15"/>
              </w:rPr>
              <w:t>AC-B7</w:t>
            </w:r>
          </w:p>
        </w:tc>
        <w:tc>
          <w:tcPr>
            <w:tcW w:type="dxa" w:w="6576"/>
          </w:tcPr>
          <w:p>
            <w:r/>
            <w:r>
              <w:rPr>
                <w:rFonts w:ascii="Calibri" w:hAnsi="Calibri"/>
                <w:sz w:val="15"/>
              </w:rPr>
              <w:t>Every automated step writes an audit record</w:t>
            </w:r>
          </w:p>
        </w:tc>
        <w:tc>
          <w:tcPr>
            <w:tcW w:type="dxa" w:w="2041"/>
          </w:tcPr>
          <w:p>
            <w:r/>
            <w:r>
              <w:rPr>
                <w:rFonts w:ascii="Calibri" w:hAnsi="Calibri"/>
                <w:sz w:val="15"/>
              </w:rPr>
              <w:t>Feedback 4</w:t>
            </w:r>
          </w:p>
        </w:tc>
      </w:tr>
      <w:tr>
        <w:tc>
          <w:tcPr>
            <w:tcW w:type="dxa" w:w="1020"/>
          </w:tcPr>
          <w:p>
            <w:r/>
            <w:r>
              <w:rPr>
                <w:rFonts w:ascii="Calibri" w:hAnsi="Calibri"/>
                <w:sz w:val="15"/>
              </w:rPr>
              <w:t>AC-B8</w:t>
            </w:r>
          </w:p>
        </w:tc>
        <w:tc>
          <w:tcPr>
            <w:tcW w:type="dxa" w:w="6576"/>
          </w:tcPr>
          <w:p>
            <w:r/>
            <w:r>
              <w:rPr>
                <w:rFonts w:ascii="Calibri" w:hAnsi="Calibri"/>
                <w:sz w:val="15"/>
              </w:rPr>
              <w:t>A second successful payment for the same case is refused</w:t>
            </w:r>
          </w:p>
        </w:tc>
        <w:tc>
          <w:tcPr>
            <w:tcW w:type="dxa" w:w="2041"/>
          </w:tcPr>
          <w:p>
            <w:r/>
            <w:r>
              <w:rPr>
                <w:rFonts w:ascii="Calibri" w:hAnsi="Calibri"/>
                <w:sz w:val="15"/>
              </w:rPr>
              <w:t>Feedback 4</w:t>
            </w:r>
          </w:p>
        </w:tc>
      </w:tr>
      <w:tr>
        <w:tc>
          <w:tcPr>
            <w:tcW w:type="dxa" w:w="1020"/>
          </w:tcPr>
          <w:p>
            <w:r/>
            <w:r>
              <w:rPr>
                <w:rFonts w:ascii="Calibri" w:hAnsi="Calibri"/>
                <w:sz w:val="15"/>
              </w:rPr>
              <w:t>AC-B9</w:t>
            </w:r>
          </w:p>
        </w:tc>
        <w:tc>
          <w:tcPr>
            <w:tcW w:type="dxa" w:w="6576"/>
          </w:tcPr>
          <w:p>
            <w:r/>
            <w:r>
              <w:rPr>
                <w:rFonts w:ascii="Calibri" w:hAnsi="Calibri"/>
                <w:sz w:val="15"/>
              </w:rPr>
              <w:t>Persisted data survives a restart of the application</w:t>
            </w:r>
          </w:p>
        </w:tc>
        <w:tc>
          <w:tcPr>
            <w:tcW w:type="dxa" w:w="2041"/>
          </w:tcPr>
          <w:p>
            <w:r/>
            <w:r>
              <w:rPr>
                <w:rFonts w:ascii="Calibri" w:hAnsi="Calibri"/>
                <w:sz w:val="15"/>
              </w:rPr>
              <w:t>Feedback 4</w:t>
            </w:r>
          </w:p>
        </w:tc>
      </w:tr>
      <w:tr>
        <w:tc>
          <w:tcPr>
            <w:tcW w:type="dxa" w:w="1020"/>
          </w:tcPr>
          <w:p>
            <w:r/>
            <w:r>
              <w:rPr>
                <w:rFonts w:ascii="Calibri" w:hAnsi="Calibri"/>
                <w:sz w:val="15"/>
              </w:rPr>
              <w:t>AC-B10</w:t>
            </w:r>
          </w:p>
        </w:tc>
        <w:tc>
          <w:tcPr>
            <w:tcW w:type="dxa" w:w="6576"/>
          </w:tcPr>
          <w:p>
            <w:r/>
            <w:r>
              <w:rPr>
                <w:rFonts w:ascii="Calibri" w:hAnsi="Calibri"/>
                <w:sz w:val="15"/>
              </w:rPr>
              <w:t>Every user task carries candidate groups and is invisible to other roles</w:t>
            </w:r>
          </w:p>
        </w:tc>
        <w:tc>
          <w:tcPr>
            <w:tcW w:type="dxa" w:w="2041"/>
          </w:tcPr>
          <w:p>
            <w:r/>
            <w:r>
              <w:rPr>
                <w:rFonts w:ascii="Calibri" w:hAnsi="Calibri"/>
                <w:sz w:val="15"/>
              </w:rPr>
              <w:t>Feedback 5</w:t>
            </w:r>
          </w:p>
        </w:tc>
      </w:tr>
      <w:tr>
        <w:tc>
          <w:tcPr>
            <w:tcW w:type="dxa" w:w="1020"/>
          </w:tcPr>
          <w:p>
            <w:r/>
            <w:r>
              <w:rPr>
                <w:rFonts w:ascii="Calibri" w:hAnsi="Calibri"/>
                <w:sz w:val="15"/>
              </w:rPr>
              <w:t>AC-B11</w:t>
            </w:r>
          </w:p>
        </w:tc>
        <w:tc>
          <w:tcPr>
            <w:tcW w:type="dxa" w:w="6576"/>
          </w:tcPr>
          <w:p>
            <w:r/>
            <w:r>
              <w:rPr>
                <w:rFonts w:ascii="Calibri" w:hAnsi="Calibri"/>
                <w:sz w:val="15"/>
              </w:rPr>
              <w:t>Model and form quality checks pass (structure, language, validation coverage, change safety)</w:t>
            </w:r>
          </w:p>
        </w:tc>
        <w:tc>
          <w:tcPr>
            <w:tcW w:type="dxa" w:w="2041"/>
          </w:tcPr>
          <w:p>
            <w:r/>
            <w:r>
              <w:rPr>
                <w:rFonts w:ascii="Calibri" w:hAnsi="Calibri"/>
                <w:sz w:val="15"/>
              </w:rPr>
              <w:t>Quality gate</w:t>
            </w:r>
          </w:p>
        </w:tc>
      </w:tr>
      <w:tr>
        <w:tc>
          <w:tcPr>
            <w:tcW w:type="dxa" w:w="1020"/>
          </w:tcPr>
          <w:p>
            <w:r/>
            <w:r>
              <w:rPr>
                <w:rFonts w:ascii="Calibri" w:hAnsi="Calibri"/>
                <w:sz w:val="15"/>
              </w:rPr>
              <w:t>AC-B12</w:t>
            </w:r>
          </w:p>
        </w:tc>
        <w:tc>
          <w:tcPr>
            <w:tcW w:type="dxa" w:w="6576"/>
          </w:tcPr>
          <w:p>
            <w:r/>
            <w:r>
              <w:rPr>
                <w:rFonts w:ascii="Calibri" w:hAnsi="Calibri"/>
                <w:sz w:val="15"/>
              </w:rPr>
              <w:t>The i* models pass iStar 2.0 constraints and contain no isolated elements</w:t>
            </w:r>
          </w:p>
        </w:tc>
        <w:tc>
          <w:tcPr>
            <w:tcW w:type="dxa" w:w="2041"/>
          </w:tcPr>
          <w:p>
            <w:r/>
            <w:r>
              <w:rPr>
                <w:rFonts w:ascii="Calibri" w:hAnsi="Calibri"/>
                <w:sz w:val="15"/>
              </w:rPr>
              <w:t>Portfolio</w:t>
            </w:r>
          </w:p>
        </w:tc>
      </w:tr>
      <w:tr>
        <w:tc>
          <w:tcPr>
            <w:tcW w:type="dxa" w:w="1020"/>
          </w:tcPr>
          <w:p>
            <w:r/>
            <w:r>
              <w:rPr>
                <w:rFonts w:ascii="Calibri" w:hAnsi="Calibri"/>
                <w:sz w:val="15"/>
              </w:rPr>
              <w:t>AC-B13</w:t>
            </w:r>
          </w:p>
        </w:tc>
        <w:tc>
          <w:tcPr>
            <w:tcW w:type="dxa" w:w="6576"/>
          </w:tcPr>
          <w:p>
            <w:r/>
            <w:r>
              <w:rPr>
                <w:rFonts w:ascii="Calibri" w:hAnsi="Calibri"/>
                <w:sz w:val="15"/>
              </w:rPr>
              <w:t>Updated instructions exist for deploying and running the system</w:t>
            </w:r>
          </w:p>
        </w:tc>
        <w:tc>
          <w:tcPr>
            <w:tcW w:type="dxa" w:w="2041"/>
          </w:tcPr>
          <w:p>
            <w:r/>
            <w:r>
              <w:rPr>
                <w:rFonts w:ascii="Calibri" w:hAnsi="Calibri"/>
                <w:sz w:val="15"/>
              </w:rPr>
              <w:t>Operational</w:t>
            </w:r>
          </w:p>
        </w:tc>
      </w:tr>
      <w:tr>
        <w:tc>
          <w:tcPr>
            <w:tcW w:type="dxa" w:w="1020"/>
          </w:tcPr>
          <w:p>
            <w:r/>
            <w:r>
              <w:rPr>
                <w:rFonts w:ascii="Calibri" w:hAnsi="Calibri"/>
                <w:sz w:val="15"/>
              </w:rPr>
              <w:t>AC-B14</w:t>
            </w:r>
          </w:p>
        </w:tc>
        <w:tc>
          <w:tcPr>
            <w:tcW w:type="dxa" w:w="6576"/>
          </w:tcPr>
          <w:p>
            <w:r/>
            <w:r>
              <w:rPr>
                <w:rFonts w:ascii="Calibri" w:hAnsi="Calibri"/>
                <w:sz w:val="15"/>
              </w:rPr>
              <w:t>Results are reproducible from the repository without manual repair</w:t>
            </w:r>
          </w:p>
        </w:tc>
        <w:tc>
          <w:tcPr>
            <w:tcW w:type="dxa" w:w="2041"/>
          </w:tcPr>
          <w:p>
            <w:r/>
            <w:r>
              <w:rPr>
                <w:rFonts w:ascii="Calibri" w:hAnsi="Calibri"/>
                <w:sz w:val="15"/>
              </w:rPr>
              <w:t>Operational</w:t>
            </w:r>
          </w:p>
        </w:tc>
      </w:tr>
    </w:tbl>
    <w:p>
      <w:pPr>
        <w:spacing w:after="40"/>
      </w:pPr>
    </w:p>
    <w:p>
      <w:pPr>
        <w:pStyle w:val="Heading1"/>
      </w:pPr>
      <w:r>
        <w:t>3. Test approach and environment</w:t>
      </w:r>
    </w:p>
    <w:p>
      <w:pPr>
        <w:pStyle w:val="ListBullet"/>
        <w:spacing w:after="40"/>
      </w:pPr>
      <w:r>
        <w:rPr>
          <w:rFonts w:ascii="Calibri" w:hAnsi="Calibri"/>
        </w:rPr>
        <w:t>Camunda 8.10.0-alpha5 (local distribution), REST API v2 on port 8080; job workers as a Spring Boot application on port 8090.</w:t>
      </w:r>
    </w:p>
    <w:p>
      <w:pPr>
        <w:pStyle w:val="ListBullet"/>
        <w:spacing w:after="40"/>
      </w:pPr>
      <w:r>
        <w:rPr>
          <w:rFonts w:ascii="Calibri" w:hAnsi="Calibri"/>
        </w:rPr>
        <w:t>Java 21 target; three Java projects (shared workers, P10 letter workers, P7 funding workers).</w:t>
      </w:r>
    </w:p>
    <w:p>
      <w:pPr>
        <w:pStyle w:val="ListBullet"/>
        <w:spacing w:after="40"/>
      </w:pPr>
      <w:r>
        <w:rPr>
          <w:rFonts w:ascii="Calibri" w:hAnsi="Calibri"/>
        </w:rPr>
        <w:t>Persistence: file-based H2 2.4.240, schema created by Hibernate, 11 tables.</w:t>
      </w:r>
    </w:p>
    <w:p>
      <w:pPr>
        <w:pStyle w:val="ListBullet"/>
        <w:spacing w:after="40"/>
      </w:pPr>
      <w:r>
        <w:rPr>
          <w:rFonts w:ascii="Calibri" w:hAnsi="Calibri"/>
        </w:rPr>
        <w:t>Model checks: a purpose-built structural checker for BPMN (dangling references, cross-process flows, XSD child order, orphan nodes, DI coverage, implicit merges) and a constraint checker generated from piStar's iStar 2.0 rules.</w:t>
      </w:r>
    </w:p>
    <w:p>
      <w:pPr>
        <w:pStyle w:val="ListBullet"/>
        <w:spacing w:after="40"/>
      </w:pPr>
      <w:r>
        <w:rPr>
          <w:rFonts w:ascii="Calibri" w:hAnsi="Calibri"/>
        </w:rPr>
        <w:t>End-to-end checks: REST calls to start instances and complete user tasks, followed by queries against the persistence API and the database.</w:t>
      </w:r>
    </w:p>
    <w:p>
      <w:pPr>
        <w:pStyle w:val="Heading1"/>
      </w:pPr>
      <w:r>
        <w:t>4. Test results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567"/>
          </w:tcPr>
          <w:p>
            <w:r/>
            <w:r>
              <w:rPr>
                <w:rFonts w:ascii="Calibri" w:hAnsi="Calibri"/>
                <w:b/>
                <w:sz w:val="15"/>
              </w:rPr>
              <w:t>ID</w:t>
            </w:r>
          </w:p>
        </w:tc>
        <w:tc>
          <w:tcPr>
            <w:tcW w:type="dxa" w:w="1984"/>
          </w:tcPr>
          <w:p>
            <w:r/>
            <w:r>
              <w:rPr>
                <w:rFonts w:ascii="Calibri" w:hAnsi="Calibri"/>
                <w:b/>
                <w:sz w:val="15"/>
              </w:rPr>
              <w:t>What was tested</w:t>
            </w:r>
          </w:p>
        </w:tc>
        <w:tc>
          <w:tcPr>
            <w:tcW w:type="dxa" w:w="1814"/>
          </w:tcPr>
          <w:p>
            <w:r/>
            <w:r>
              <w:rPr>
                <w:rFonts w:ascii="Calibri" w:hAnsi="Calibri"/>
                <w:b/>
                <w:sz w:val="15"/>
              </w:rPr>
              <w:t>Method</w:t>
            </w:r>
          </w:p>
        </w:tc>
        <w:tc>
          <w:tcPr>
            <w:tcW w:type="dxa" w:w="4479"/>
          </w:tcPr>
          <w:p>
            <w:r/>
            <w:r>
              <w:rPr>
                <w:rFonts w:ascii="Calibri" w:hAnsi="Calibri"/>
                <w:b/>
                <w:sz w:val="15"/>
              </w:rPr>
              <w:t>Result</w:t>
            </w:r>
          </w:p>
        </w:tc>
        <w:tc>
          <w:tcPr>
            <w:tcW w:type="dxa" w:w="794"/>
          </w:tcPr>
          <w:p>
            <w:r/>
            <w:r>
              <w:rPr>
                <w:rFonts w:ascii="Calibri" w:hAnsi="Calibri"/>
                <w:b/>
                <w:sz w:val="15"/>
              </w:rPr>
              <w:t>Verdict</w:t>
            </w:r>
          </w:p>
        </w:tc>
      </w:tr>
      <w:tr>
        <w:tc>
          <w:tcPr>
            <w:tcW w:type="dxa" w:w="567"/>
          </w:tcPr>
          <w:p>
            <w:r/>
            <w:r>
              <w:rPr>
                <w:rFonts w:ascii="Calibri" w:hAnsi="Calibri"/>
                <w:sz w:val="15"/>
              </w:rPr>
              <w:t>T1</w:t>
            </w:r>
          </w:p>
        </w:tc>
        <w:tc>
          <w:tcPr>
            <w:tcW w:type="dxa" w:w="1984"/>
          </w:tcPr>
          <w:p>
            <w:r/>
            <w:r>
              <w:rPr>
                <w:rFonts w:ascii="Calibri" w:hAnsi="Calibri"/>
                <w:sz w:val="15"/>
              </w:rPr>
              <w:t>Deploy all models and forms</w:t>
            </w:r>
          </w:p>
        </w:tc>
        <w:tc>
          <w:tcPr>
            <w:tcW w:type="dxa" w:w="1814"/>
          </w:tcPr>
          <w:p>
            <w:r/>
            <w:r>
              <w:rPr>
                <w:rFonts w:ascii="Calibri" w:hAnsi="Calibri"/>
                <w:sz w:val="15"/>
              </w:rPr>
              <w:t>REST multipart deployment</w:t>
            </w:r>
          </w:p>
        </w:tc>
        <w:tc>
          <w:tcPr>
            <w:tcW w:type="dxa" w:w="4479"/>
          </w:tcPr>
          <w:p>
            <w:r/>
            <w:r>
              <w:rPr>
                <w:rFonts w:ascii="Calibri" w:hAnsi="Calibri"/>
                <w:sz w:val="15"/>
              </w:rPr>
              <w:t>15 process definitions and 37 form versions deployed</w:t>
            </w:r>
          </w:p>
        </w:tc>
        <w:tc>
          <w:tcPr>
            <w:tcW w:type="dxa" w:w="794"/>
          </w:tcPr>
          <w:p>
            <w:r/>
            <w:r>
              <w:rPr>
                <w:rFonts w:ascii="Calibri" w:hAnsi="Calibri"/>
                <w:sz w:val="15"/>
              </w:rPr>
              <w:t>Pass</w:t>
            </w:r>
          </w:p>
        </w:tc>
      </w:tr>
      <w:tr>
        <w:tc>
          <w:tcPr>
            <w:tcW w:type="dxa" w:w="567"/>
          </w:tcPr>
          <w:p>
            <w:r/>
            <w:r>
              <w:rPr>
                <w:rFonts w:ascii="Calibri" w:hAnsi="Calibri"/>
                <w:sz w:val="15"/>
              </w:rPr>
              <w:t>T2</w:t>
            </w:r>
          </w:p>
        </w:tc>
        <w:tc>
          <w:tcPr>
            <w:tcW w:type="dxa" w:w="1984"/>
          </w:tcPr>
          <w:p>
            <w:r/>
            <w:r>
              <w:rPr>
                <w:rFonts w:ascii="Calibri" w:hAnsi="Calibri"/>
                <w:sz w:val="15"/>
              </w:rPr>
              <w:t>BPMN structural check</w:t>
            </w:r>
          </w:p>
        </w:tc>
        <w:tc>
          <w:tcPr>
            <w:tcW w:type="dxa" w:w="1814"/>
          </w:tcPr>
          <w:p>
            <w:r/>
            <w:r>
              <w:rPr>
                <w:rFonts w:ascii="Calibri" w:hAnsi="Calibri"/>
                <w:sz w:val="15"/>
              </w:rPr>
              <w:t>Custom checker over 9 models</w:t>
            </w:r>
          </w:p>
        </w:tc>
        <w:tc>
          <w:tcPr>
            <w:tcW w:type="dxa" w:w="4479"/>
          </w:tcPr>
          <w:p>
            <w:r/>
            <w:r>
              <w:rPr>
                <w:rFonts w:ascii="Calibri" w:hAnsi="Calibri"/>
                <w:sz w:val="15"/>
              </w:rPr>
              <w:t>All counters 0: dangling references, cross-process flows, child order, orphan nodes, missing DI, implicit merges</w:t>
            </w:r>
          </w:p>
        </w:tc>
        <w:tc>
          <w:tcPr>
            <w:tcW w:type="dxa" w:w="794"/>
          </w:tcPr>
          <w:p>
            <w:r/>
            <w:r>
              <w:rPr>
                <w:rFonts w:ascii="Calibri" w:hAnsi="Calibri"/>
                <w:sz w:val="15"/>
              </w:rPr>
              <w:t>Pass</w:t>
            </w:r>
          </w:p>
        </w:tc>
      </w:tr>
      <w:tr>
        <w:tc>
          <w:tcPr>
            <w:tcW w:type="dxa" w:w="567"/>
          </w:tcPr>
          <w:p>
            <w:r/>
            <w:r>
              <w:rPr>
                <w:rFonts w:ascii="Calibri" w:hAnsi="Calibri"/>
                <w:sz w:val="15"/>
              </w:rPr>
              <w:t>T3</w:t>
            </w:r>
          </w:p>
        </w:tc>
        <w:tc>
          <w:tcPr>
            <w:tcW w:type="dxa" w:w="1984"/>
          </w:tcPr>
          <w:p>
            <w:r/>
            <w:r>
              <w:rPr>
                <w:rFonts w:ascii="Calibri" w:hAnsi="Calibri"/>
                <w:sz w:val="15"/>
              </w:rPr>
              <w:t>BPMN language check</w:t>
            </w:r>
          </w:p>
        </w:tc>
        <w:tc>
          <w:tcPr>
            <w:tcW w:type="dxa" w:w="1814"/>
          </w:tcPr>
          <w:p>
            <w:r/>
            <w:r>
              <w:rPr>
                <w:rFonts w:ascii="Calibri" w:hAnsi="Calibri"/>
                <w:sz w:val="15"/>
              </w:rPr>
              <w:t>Same checker (CJK column)</w:t>
            </w:r>
          </w:p>
        </w:tc>
        <w:tc>
          <w:tcPr>
            <w:tcW w:type="dxa" w:w="4479"/>
          </w:tcPr>
          <w:p>
            <w:r/>
            <w:r>
              <w:rPr>
                <w:rFonts w:ascii="Calibri" w:hAnsi="Calibri"/>
                <w:sz w:val="15"/>
              </w:rPr>
              <w:t>0 Chinese characters in all 9 models, including full-width punctuation</w:t>
            </w:r>
          </w:p>
        </w:tc>
        <w:tc>
          <w:tcPr>
            <w:tcW w:type="dxa" w:w="794"/>
          </w:tcPr>
          <w:p>
            <w:r/>
            <w:r>
              <w:rPr>
                <w:rFonts w:ascii="Calibri" w:hAnsi="Calibri"/>
                <w:sz w:val="15"/>
              </w:rPr>
              <w:t>Pass</w:t>
            </w:r>
          </w:p>
        </w:tc>
      </w:tr>
      <w:tr>
        <w:tc>
          <w:tcPr>
            <w:tcW w:type="dxa" w:w="567"/>
          </w:tcPr>
          <w:p>
            <w:r/>
            <w:r>
              <w:rPr>
                <w:rFonts w:ascii="Calibri" w:hAnsi="Calibri"/>
                <w:sz w:val="15"/>
              </w:rPr>
              <w:t>T4</w:t>
            </w:r>
          </w:p>
        </w:tc>
        <w:tc>
          <w:tcPr>
            <w:tcW w:type="dxa" w:w="1984"/>
          </w:tcPr>
          <w:p>
            <w:r/>
            <w:r>
              <w:rPr>
                <w:rFonts w:ascii="Calibri" w:hAnsi="Calibri"/>
                <w:sz w:val="15"/>
              </w:rPr>
              <w:t>Form validation coverage</w:t>
            </w:r>
          </w:p>
        </w:tc>
        <w:tc>
          <w:tcPr>
            <w:tcW w:type="dxa" w:w="1814"/>
          </w:tcPr>
          <w:p>
            <w:r/>
            <w:r>
              <w:rPr>
                <w:rFonts w:ascii="Calibri" w:hAnsi="Calibri"/>
                <w:sz w:val="15"/>
              </w:rPr>
              <w:t>Statistics over 37 forms</w:t>
            </w:r>
          </w:p>
        </w:tc>
        <w:tc>
          <w:tcPr>
            <w:tcW w:type="dxa" w:w="4479"/>
          </w:tcPr>
          <w:p>
            <w:r/>
            <w:r>
              <w:rPr>
                <w:rFonts w:ascii="Calibri" w:hAnsi="Calibri"/>
                <w:sz w:val="15"/>
              </w:rPr>
              <w:t>131 fields with rules, 99 required, 19 patterns, 123 length limits, 6 number and 5 datetime fields</w:t>
            </w:r>
          </w:p>
        </w:tc>
        <w:tc>
          <w:tcPr>
            <w:tcW w:type="dxa" w:w="794"/>
          </w:tcPr>
          <w:p>
            <w:r/>
            <w:r>
              <w:rPr>
                <w:rFonts w:ascii="Calibri" w:hAnsi="Calibri"/>
                <w:sz w:val="15"/>
              </w:rPr>
              <w:t>Pass</w:t>
            </w:r>
          </w:p>
        </w:tc>
      </w:tr>
      <w:tr>
        <w:tc>
          <w:tcPr>
            <w:tcW w:type="dxa" w:w="567"/>
          </w:tcPr>
          <w:p>
            <w:r/>
            <w:r>
              <w:rPr>
                <w:rFonts w:ascii="Calibri" w:hAnsi="Calibri"/>
                <w:sz w:val="15"/>
              </w:rPr>
              <w:t>T5</w:t>
            </w:r>
          </w:p>
        </w:tc>
        <w:tc>
          <w:tcPr>
            <w:tcW w:type="dxa" w:w="1984"/>
          </w:tcPr>
          <w:p>
            <w:r/>
            <w:r>
              <w:rPr>
                <w:rFonts w:ascii="Calibri" w:hAnsi="Calibri"/>
                <w:sz w:val="15"/>
              </w:rPr>
              <w:t>Form change safety</w:t>
            </w:r>
          </w:p>
        </w:tc>
        <w:tc>
          <w:tcPr>
            <w:tcW w:type="dxa" w:w="1814"/>
          </w:tcPr>
          <w:p>
            <w:r/>
            <w:r>
              <w:rPr>
                <w:rFonts w:ascii="Calibri" w:hAnsi="Calibri"/>
                <w:sz w:val="15"/>
              </w:rPr>
              <w:t>Comparison against the original package</w:t>
            </w:r>
          </w:p>
        </w:tc>
        <w:tc>
          <w:tcPr>
            <w:tcW w:type="dxa" w:w="4479"/>
          </w:tcPr>
          <w:p>
            <w:r/>
            <w:r>
              <w:rPr>
                <w:rFonts w:ascii="Calibri" w:hAnsi="Calibri"/>
                <w:sz w:val="15"/>
              </w:rPr>
              <w:t>Field keys, option values and component ids identical</w:t>
            </w:r>
          </w:p>
        </w:tc>
        <w:tc>
          <w:tcPr>
            <w:tcW w:type="dxa" w:w="794"/>
          </w:tcPr>
          <w:p>
            <w:r/>
            <w:r>
              <w:rPr>
                <w:rFonts w:ascii="Calibri" w:hAnsi="Calibri"/>
                <w:sz w:val="15"/>
              </w:rPr>
              <w:t>Pass</w:t>
            </w:r>
          </w:p>
        </w:tc>
      </w:tr>
      <w:tr>
        <w:tc>
          <w:tcPr>
            <w:tcW w:type="dxa" w:w="567"/>
          </w:tcPr>
          <w:p>
            <w:r/>
            <w:r>
              <w:rPr>
                <w:rFonts w:ascii="Calibri" w:hAnsi="Calibri"/>
                <w:sz w:val="15"/>
              </w:rPr>
              <w:t>T6</w:t>
            </w:r>
          </w:p>
        </w:tc>
        <w:tc>
          <w:tcPr>
            <w:tcW w:type="dxa" w:w="1984"/>
          </w:tcPr>
          <w:p>
            <w:r/>
            <w:r>
              <w:rPr>
                <w:rFonts w:ascii="Calibri" w:hAnsi="Calibri"/>
                <w:sz w:val="15"/>
              </w:rPr>
              <w:t>Java compilation</w:t>
            </w:r>
          </w:p>
        </w:tc>
        <w:tc>
          <w:tcPr>
            <w:tcW w:type="dxa" w:w="1814"/>
          </w:tcPr>
          <w:p>
            <w:r/>
            <w:r>
              <w:rPr>
                <w:rFonts w:ascii="Calibri" w:hAnsi="Calibri"/>
                <w:sz w:val="15"/>
              </w:rPr>
              <w:t>mvn -B -o compile, three projects</w:t>
            </w:r>
          </w:p>
        </w:tc>
        <w:tc>
          <w:tcPr>
            <w:tcW w:type="dxa" w:w="4479"/>
          </w:tcPr>
          <w:p>
            <w:r/>
            <w:r>
              <w:rPr>
                <w:rFonts w:ascii="Calibri" w:hAnsi="Calibri"/>
                <w:sz w:val="15"/>
              </w:rPr>
              <w:t>exit 0 for all three</w:t>
            </w:r>
          </w:p>
        </w:tc>
        <w:tc>
          <w:tcPr>
            <w:tcW w:type="dxa" w:w="794"/>
          </w:tcPr>
          <w:p>
            <w:r/>
            <w:r>
              <w:rPr>
                <w:rFonts w:ascii="Calibri" w:hAnsi="Calibri"/>
                <w:sz w:val="15"/>
              </w:rPr>
              <w:t>Pass</w:t>
            </w:r>
          </w:p>
        </w:tc>
      </w:tr>
      <w:tr>
        <w:tc>
          <w:tcPr>
            <w:tcW w:type="dxa" w:w="567"/>
          </w:tcPr>
          <w:p>
            <w:r/>
            <w:r>
              <w:rPr>
                <w:rFonts w:ascii="Calibri" w:hAnsi="Calibri"/>
                <w:sz w:val="15"/>
              </w:rPr>
              <w:t>T7</w:t>
            </w:r>
          </w:p>
        </w:tc>
        <w:tc>
          <w:tcPr>
            <w:tcW w:type="dxa" w:w="1984"/>
          </w:tcPr>
          <w:p>
            <w:r/>
            <w:r>
              <w:rPr>
                <w:rFonts w:ascii="Calibri" w:hAnsi="Calibri"/>
                <w:sz w:val="15"/>
              </w:rPr>
              <w:t>Referral end to end (P1)</w:t>
            </w:r>
          </w:p>
        </w:tc>
        <w:tc>
          <w:tcPr>
            <w:tcW w:type="dxa" w:w="1814"/>
          </w:tcPr>
          <w:p>
            <w:r/>
            <w:r>
              <w:rPr>
                <w:rFonts w:ascii="Calibri" w:hAnsi="Calibri"/>
                <w:sz w:val="15"/>
              </w:rPr>
              <w:t>Start instance, complete all human tasks</w:t>
            </w:r>
          </w:p>
        </w:tc>
        <w:tc>
          <w:tcPr>
            <w:tcW w:type="dxa" w:w="4479"/>
          </w:tcPr>
          <w:p>
            <w:r/>
            <w:r>
              <w:rPr>
                <w:rFonts w:ascii="Calibri" w:hAnsi="Calibri"/>
                <w:sz w:val="15"/>
              </w:rPr>
              <w:t>Instance COMPLETED, 0 incidents, 2 user tasks completed</w:t>
            </w:r>
          </w:p>
        </w:tc>
        <w:tc>
          <w:tcPr>
            <w:tcW w:type="dxa" w:w="794"/>
          </w:tcPr>
          <w:p>
            <w:r/>
            <w:r>
              <w:rPr>
                <w:rFonts w:ascii="Calibri" w:hAnsi="Calibri"/>
                <w:sz w:val="15"/>
              </w:rPr>
              <w:t>Pass</w:t>
            </w:r>
          </w:p>
        </w:tc>
      </w:tr>
      <w:tr>
        <w:tc>
          <w:tcPr>
            <w:tcW w:type="dxa" w:w="567"/>
          </w:tcPr>
          <w:p>
            <w:r/>
            <w:r>
              <w:rPr>
                <w:rFonts w:ascii="Calibri" w:hAnsi="Calibri"/>
                <w:sz w:val="15"/>
              </w:rPr>
              <w:t>T8</w:t>
            </w:r>
          </w:p>
        </w:tc>
        <w:tc>
          <w:tcPr>
            <w:tcW w:type="dxa" w:w="1984"/>
          </w:tcPr>
          <w:p>
            <w:r/>
            <w:r>
              <w:rPr>
                <w:rFonts w:ascii="Calibri" w:hAnsi="Calibri"/>
                <w:sz w:val="15"/>
              </w:rPr>
              <w:t>Data written by workers</w:t>
            </w:r>
          </w:p>
        </w:tc>
        <w:tc>
          <w:tcPr>
            <w:tcW w:type="dxa" w:w="1814"/>
          </w:tcPr>
          <w:p>
            <w:r/>
            <w:r>
              <w:rPr>
                <w:rFonts w:ascii="Calibri" w:hAnsi="Calibri"/>
                <w:sz w:val="15"/>
              </w:rPr>
              <w:t>Query the persistence API after the run</w:t>
            </w:r>
          </w:p>
        </w:tc>
        <w:tc>
          <w:tcPr>
            <w:tcW w:type="dxa" w:w="4479"/>
          </w:tcPr>
          <w:p>
            <w:r/>
            <w:r>
              <w:rPr>
                <w:rFonts w:ascii="Calibri" w:hAnsi="Calibri"/>
                <w:sz w:val="15"/>
              </w:rPr>
              <w:t>referral, patient and process_audit rows created</w:t>
            </w:r>
          </w:p>
        </w:tc>
        <w:tc>
          <w:tcPr>
            <w:tcW w:type="dxa" w:w="794"/>
          </w:tcPr>
          <w:p>
            <w:r/>
            <w:r>
              <w:rPr>
                <w:rFonts w:ascii="Calibri" w:hAnsi="Calibri"/>
                <w:sz w:val="15"/>
              </w:rPr>
              <w:t>Pass</w:t>
            </w:r>
          </w:p>
        </w:tc>
      </w:tr>
      <w:tr>
        <w:tc>
          <w:tcPr>
            <w:tcW w:type="dxa" w:w="567"/>
          </w:tcPr>
          <w:p>
            <w:r/>
            <w:r>
              <w:rPr>
                <w:rFonts w:ascii="Calibri" w:hAnsi="Calibri"/>
                <w:sz w:val="15"/>
              </w:rPr>
              <w:t>T9</w:t>
            </w:r>
          </w:p>
        </w:tc>
        <w:tc>
          <w:tcPr>
            <w:tcW w:type="dxa" w:w="1984"/>
          </w:tcPr>
          <w:p>
            <w:r/>
            <w:r>
              <w:rPr>
                <w:rFonts w:ascii="Calibri" w:hAnsi="Calibri"/>
                <w:sz w:val="15"/>
              </w:rPr>
              <w:t>Persistence across restart</w:t>
            </w:r>
          </w:p>
        </w:tc>
        <w:tc>
          <w:tcPr>
            <w:tcW w:type="dxa" w:w="1814"/>
          </w:tcPr>
          <w:p>
            <w:r/>
            <w:r>
              <w:rPr>
                <w:rFonts w:ascii="Calibri" w:hAnsi="Calibri"/>
                <w:sz w:val="15"/>
              </w:rPr>
              <w:t>Stop application, restart, re-query</w:t>
            </w:r>
          </w:p>
        </w:tc>
        <w:tc>
          <w:tcPr>
            <w:tcW w:type="dxa" w:w="4479"/>
          </w:tcPr>
          <w:p>
            <w:r/>
            <w:r>
              <w:rPr>
                <w:rFonts w:ascii="Calibri" w:hAnsi="Calibri"/>
                <w:sz w:val="15"/>
              </w:rPr>
              <w:t>Identical row counts and content</w:t>
            </w:r>
          </w:p>
        </w:tc>
        <w:tc>
          <w:tcPr>
            <w:tcW w:type="dxa" w:w="794"/>
          </w:tcPr>
          <w:p>
            <w:r/>
            <w:r>
              <w:rPr>
                <w:rFonts w:ascii="Calibri" w:hAnsi="Calibri"/>
                <w:sz w:val="15"/>
              </w:rPr>
              <w:t>Pass</w:t>
            </w:r>
          </w:p>
        </w:tc>
      </w:tr>
      <w:tr>
        <w:tc>
          <w:tcPr>
            <w:tcW w:type="dxa" w:w="567"/>
          </w:tcPr>
          <w:p>
            <w:r/>
            <w:r>
              <w:rPr>
                <w:rFonts w:ascii="Calibri" w:hAnsi="Calibri"/>
                <w:sz w:val="15"/>
              </w:rPr>
              <w:t>T10</w:t>
            </w:r>
          </w:p>
        </w:tc>
        <w:tc>
          <w:tcPr>
            <w:tcW w:type="dxa" w:w="1984"/>
          </w:tcPr>
          <w:p>
            <w:r/>
            <w:r>
              <w:rPr>
                <w:rFonts w:ascii="Calibri" w:hAnsi="Calibri"/>
                <w:sz w:val="15"/>
              </w:rPr>
              <w:t>Duplicate payment prevention</w:t>
            </w:r>
          </w:p>
        </w:tc>
        <w:tc>
          <w:tcPr>
            <w:tcW w:type="dxa" w:w="1814"/>
          </w:tcPr>
          <w:p>
            <w:r/>
            <w:r>
              <w:rPr>
                <w:rFonts w:ascii="Calibri" w:hAnsi="Calibri"/>
                <w:sz w:val="15"/>
              </w:rPr>
              <w:t>Submit a second successful payment for the same case id</w:t>
            </w:r>
          </w:p>
        </w:tc>
        <w:tc>
          <w:tcPr>
            <w:tcW w:type="dxa" w:w="4479"/>
          </w:tcPr>
          <w:p>
            <w:r/>
            <w:r>
              <w:rPr>
                <w:rFonts w:ascii="Calibri" w:hAnsi="Calibri"/>
                <w:sz w:val="15"/>
              </w:rPr>
              <w:t>Second attempt refused (duplicate-blocked); payment table stayed at 1 row</w:t>
            </w:r>
          </w:p>
        </w:tc>
        <w:tc>
          <w:tcPr>
            <w:tcW w:type="dxa" w:w="794"/>
          </w:tcPr>
          <w:p>
            <w:r/>
            <w:r>
              <w:rPr>
                <w:rFonts w:ascii="Calibri" w:hAnsi="Calibri"/>
                <w:sz w:val="15"/>
              </w:rPr>
              <w:t>Pass</w:t>
            </w:r>
          </w:p>
        </w:tc>
      </w:tr>
      <w:tr>
        <w:tc>
          <w:tcPr>
            <w:tcW w:type="dxa" w:w="567"/>
          </w:tcPr>
          <w:p>
            <w:r/>
            <w:r>
              <w:rPr>
                <w:rFonts w:ascii="Calibri" w:hAnsi="Calibri"/>
                <w:sz w:val="15"/>
              </w:rPr>
              <w:t>T11</w:t>
            </w:r>
          </w:p>
        </w:tc>
        <w:tc>
          <w:tcPr>
            <w:tcW w:type="dxa" w:w="1984"/>
          </w:tcPr>
          <w:p>
            <w:r/>
            <w:r>
              <w:rPr>
                <w:rFonts w:ascii="Calibri" w:hAnsi="Calibri"/>
                <w:sz w:val="15"/>
              </w:rPr>
              <w:t>Role-based task visibility</w:t>
            </w:r>
          </w:p>
        </w:tc>
        <w:tc>
          <w:tcPr>
            <w:tcW w:type="dxa" w:w="1814"/>
          </w:tcPr>
          <w:p>
            <w:r/>
            <w:r>
              <w:rPr>
                <w:rFonts w:ascii="Calibri" w:hAnsi="Calibri"/>
                <w:sz w:val="15"/>
              </w:rPr>
              <w:t>Query created tasks per candidate group</w:t>
            </w:r>
          </w:p>
        </w:tc>
        <w:tc>
          <w:tcPr>
            <w:tcW w:type="dxa" w:w="4479"/>
          </w:tcPr>
          <w:p>
            <w:r/>
            <w:r>
              <w:rPr>
                <w:rFonts w:ascii="Calibri" w:hAnsi="Calibri"/>
                <w:sz w:val="15"/>
              </w:rPr>
              <w:t>Each task visible only to its group; the other 10 groups returned 0</w:t>
            </w:r>
          </w:p>
        </w:tc>
        <w:tc>
          <w:tcPr>
            <w:tcW w:type="dxa" w:w="794"/>
          </w:tcPr>
          <w:p>
            <w:r/>
            <w:r>
              <w:rPr>
                <w:rFonts w:ascii="Calibri" w:hAnsi="Calibri"/>
                <w:sz w:val="15"/>
              </w:rPr>
              <w:t>Pass</w:t>
            </w:r>
          </w:p>
        </w:tc>
      </w:tr>
      <w:tr>
        <w:tc>
          <w:tcPr>
            <w:tcW w:type="dxa" w:w="567"/>
          </w:tcPr>
          <w:p>
            <w:r/>
            <w:r>
              <w:rPr>
                <w:rFonts w:ascii="Calibri" w:hAnsi="Calibri"/>
                <w:sz w:val="15"/>
              </w:rPr>
              <w:t>T12</w:t>
            </w:r>
          </w:p>
        </w:tc>
        <w:tc>
          <w:tcPr>
            <w:tcW w:type="dxa" w:w="1984"/>
          </w:tcPr>
          <w:p>
            <w:r/>
            <w:r>
              <w:rPr>
                <w:rFonts w:ascii="Calibri" w:hAnsi="Calibri"/>
                <w:sz w:val="15"/>
              </w:rPr>
              <w:t>Management SQL</w:t>
            </w:r>
          </w:p>
        </w:tc>
        <w:tc>
          <w:tcPr>
            <w:tcW w:type="dxa" w:w="1814"/>
          </w:tcPr>
          <w:p>
            <w:r/>
            <w:r>
              <w:rPr>
                <w:rFonts w:ascii="Calibri" w:hAnsi="Calibri"/>
                <w:sz w:val="15"/>
              </w:rPr>
              <w:t>Run all documented statements via H2 Shell</w:t>
            </w:r>
          </w:p>
        </w:tc>
        <w:tc>
          <w:tcPr>
            <w:tcW w:type="dxa" w:w="4479"/>
          </w:tcPr>
          <w:p>
            <w:r/>
            <w:r>
              <w:rPr>
                <w:rFonts w:ascii="Calibri" w:hAnsi="Calibri"/>
                <w:sz w:val="15"/>
              </w:rPr>
              <w:t>14 of 14 statements executed</w:t>
            </w:r>
          </w:p>
        </w:tc>
        <w:tc>
          <w:tcPr>
            <w:tcW w:type="dxa" w:w="794"/>
          </w:tcPr>
          <w:p>
            <w:r/>
            <w:r>
              <w:rPr>
                <w:rFonts w:ascii="Calibri" w:hAnsi="Calibri"/>
                <w:sz w:val="15"/>
              </w:rPr>
              <w:t>Pass</w:t>
            </w:r>
          </w:p>
        </w:tc>
      </w:tr>
      <w:tr>
        <w:tc>
          <w:tcPr>
            <w:tcW w:type="dxa" w:w="567"/>
          </w:tcPr>
          <w:p>
            <w:r/>
            <w:r>
              <w:rPr>
                <w:rFonts w:ascii="Calibri" w:hAnsi="Calibri"/>
                <w:sz w:val="15"/>
              </w:rPr>
              <w:t>T13</w:t>
            </w:r>
          </w:p>
        </w:tc>
        <w:tc>
          <w:tcPr>
            <w:tcW w:type="dxa" w:w="1984"/>
          </w:tcPr>
          <w:p>
            <w:r/>
            <w:r>
              <w:rPr>
                <w:rFonts w:ascii="Calibri" w:hAnsi="Calibri"/>
                <w:sz w:val="15"/>
              </w:rPr>
              <w:t>i* iStar 2.0 constraints</w:t>
            </w:r>
          </w:p>
        </w:tc>
        <w:tc>
          <w:tcPr>
            <w:tcW w:type="dxa" w:w="1814"/>
          </w:tcPr>
          <w:p>
            <w:r/>
            <w:r>
              <w:rPr>
                <w:rFonts w:ascii="Calibri" w:hAnsi="Calibri"/>
                <w:sz w:val="15"/>
              </w:rPr>
              <w:t>Constraint checker from piStar rules</w:t>
            </w:r>
          </w:p>
        </w:tc>
        <w:tc>
          <w:tcPr>
            <w:tcW w:type="dxa" w:w="4479"/>
          </w:tcPr>
          <w:p>
            <w:r/>
            <w:r>
              <w:rPr>
                <w:rFonts w:ascii="Calibri" w:hAnsi="Calibri"/>
                <w:sz w:val="15"/>
              </w:rPr>
              <w:t>0 violations on both the SD and SR models</w:t>
            </w:r>
          </w:p>
        </w:tc>
        <w:tc>
          <w:tcPr>
            <w:tcW w:type="dxa" w:w="794"/>
          </w:tcPr>
          <w:p>
            <w:r/>
            <w:r>
              <w:rPr>
                <w:rFonts w:ascii="Calibri" w:hAnsi="Calibri"/>
                <w:sz w:val="15"/>
              </w:rPr>
              <w:t>Pass</w:t>
            </w:r>
          </w:p>
        </w:tc>
      </w:tr>
      <w:tr>
        <w:tc>
          <w:tcPr>
            <w:tcW w:type="dxa" w:w="567"/>
          </w:tcPr>
          <w:p>
            <w:r/>
            <w:r>
              <w:rPr>
                <w:rFonts w:ascii="Calibri" w:hAnsi="Calibri"/>
                <w:sz w:val="15"/>
              </w:rPr>
              <w:t>T14</w:t>
            </w:r>
          </w:p>
        </w:tc>
        <w:tc>
          <w:tcPr>
            <w:tcW w:type="dxa" w:w="1984"/>
          </w:tcPr>
          <w:p>
            <w:r/>
            <w:r>
              <w:rPr>
                <w:rFonts w:ascii="Calibri" w:hAnsi="Calibri"/>
                <w:sz w:val="15"/>
              </w:rPr>
              <w:t>i* structural integrity</w:t>
            </w:r>
          </w:p>
        </w:tc>
        <w:tc>
          <w:tcPr>
            <w:tcW w:type="dxa" w:w="1814"/>
          </w:tcPr>
          <w:p>
            <w:r/>
            <w:r>
              <w:rPr>
                <w:rFonts w:ascii="Calibri" w:hAnsi="Calibri"/>
                <w:sz w:val="15"/>
              </w:rPr>
              <w:t>Island and dependency-pairing checker</w:t>
            </w:r>
          </w:p>
        </w:tc>
        <w:tc>
          <w:tcPr>
            <w:tcW w:type="dxa" w:w="4479"/>
          </w:tcPr>
          <w:p>
            <w:r/>
            <w:r>
              <w:rPr>
                <w:rFonts w:ascii="Calibri" w:hAnsi="Calibri"/>
                <w:sz w:val="15"/>
              </w:rPr>
              <w:t>0 isolated elements, 0 unpaired dependencies</w:t>
            </w:r>
          </w:p>
        </w:tc>
        <w:tc>
          <w:tcPr>
            <w:tcW w:type="dxa" w:w="794"/>
          </w:tcPr>
          <w:p>
            <w:r/>
            <w:r>
              <w:rPr>
                <w:rFonts w:ascii="Calibri" w:hAnsi="Calibri"/>
                <w:sz w:val="15"/>
              </w:rPr>
              <w:t>Pass</w:t>
            </w:r>
          </w:p>
        </w:tc>
      </w:tr>
      <w:tr>
        <w:tc>
          <w:tcPr>
            <w:tcW w:type="dxa" w:w="567"/>
          </w:tcPr>
          <w:p>
            <w:r/>
            <w:r>
              <w:rPr>
                <w:rFonts w:ascii="Calibri" w:hAnsi="Calibri"/>
                <w:sz w:val="15"/>
              </w:rPr>
              <w:t>T15</w:t>
            </w:r>
          </w:p>
        </w:tc>
        <w:tc>
          <w:tcPr>
            <w:tcW w:type="dxa" w:w="1984"/>
          </w:tcPr>
          <w:p>
            <w:r/>
            <w:r>
              <w:rPr>
                <w:rFonts w:ascii="Calibri" w:hAnsi="Calibri"/>
                <w:sz w:val="15"/>
              </w:rPr>
              <w:t>Decision pathways</w:t>
            </w:r>
          </w:p>
        </w:tc>
        <w:tc>
          <w:tcPr>
            <w:tcW w:type="dxa" w:w="1814"/>
          </w:tcPr>
          <w:p>
            <w:r/>
            <w:r>
              <w:rPr>
                <w:rFonts w:ascii="Calibri" w:hAnsi="Calibri"/>
                <w:sz w:val="15"/>
              </w:rPr>
              <w:t>Inspection of every exclusive gateway, plus one executed run</w:t>
            </w:r>
          </w:p>
        </w:tc>
        <w:tc>
          <w:tcPr>
            <w:tcW w:type="dxa" w:w="4479"/>
          </w:tcPr>
          <w:p>
            <w:r/>
            <w:r>
              <w:rPr>
                <w:rFonts w:ascii="Calibri" w:hAnsi="Calibri"/>
                <w:sz w:val="15"/>
              </w:rPr>
              <w:t>Each option maps to a distinct outcome; P1 executed end to end; other pathways verified by inspection only</w:t>
            </w:r>
          </w:p>
        </w:tc>
        <w:tc>
          <w:tcPr>
            <w:tcW w:type="dxa" w:w="794"/>
          </w:tcPr>
          <w:p>
            <w:r/>
            <w:r>
              <w:rPr>
                <w:rFonts w:ascii="Calibri" w:hAnsi="Calibri"/>
                <w:sz w:val="15"/>
              </w:rPr>
              <w:t>Partial</w:t>
            </w:r>
          </w:p>
        </w:tc>
      </w:tr>
      <w:tr>
        <w:tc>
          <w:tcPr>
            <w:tcW w:type="dxa" w:w="567"/>
          </w:tcPr>
          <w:p>
            <w:r/>
            <w:r>
              <w:rPr>
                <w:rFonts w:ascii="Calibri" w:hAnsi="Calibri"/>
                <w:sz w:val="15"/>
              </w:rPr>
              <w:t>T16</w:t>
            </w:r>
          </w:p>
        </w:tc>
        <w:tc>
          <w:tcPr>
            <w:tcW w:type="dxa" w:w="1984"/>
          </w:tcPr>
          <w:p>
            <w:r/>
            <w:r>
              <w:rPr>
                <w:rFonts w:ascii="Calibri" w:hAnsi="Calibri"/>
                <w:sz w:val="15"/>
              </w:rPr>
              <w:t>Missing-variable behaviour</w:t>
            </w:r>
          </w:p>
        </w:tc>
        <w:tc>
          <w:tcPr>
            <w:tcW w:type="dxa" w:w="1814"/>
          </w:tcPr>
          <w:p>
            <w:r/>
            <w:r>
              <w:rPr>
                <w:rFonts w:ascii="Calibri" w:hAnsi="Calibri"/>
                <w:sz w:val="15"/>
              </w:rPr>
              <w:t>Inspection of the hardened conditions</w:t>
            </w:r>
          </w:p>
        </w:tc>
        <w:tc>
          <w:tcPr>
            <w:tcW w:type="dxa" w:w="4479"/>
          </w:tcPr>
          <w:p>
            <w:r/>
            <w:r>
              <w:rPr>
                <w:rFonts w:ascii="Calibri" w:hAnsi="Calibri"/>
                <w:sz w:val="15"/>
              </w:rPr>
              <w:t>Conditions are null-safe by construction; not exercised with an actual missing variable</w:t>
            </w:r>
          </w:p>
        </w:tc>
        <w:tc>
          <w:tcPr>
            <w:tcW w:type="dxa" w:w="794"/>
          </w:tcPr>
          <w:p>
            <w:r/>
            <w:r>
              <w:rPr>
                <w:rFonts w:ascii="Calibri" w:hAnsi="Calibri"/>
                <w:sz w:val="15"/>
              </w:rPr>
              <w:t>Partial</w:t>
            </w:r>
          </w:p>
        </w:tc>
      </w:tr>
      <w:tr>
        <w:tc>
          <w:tcPr>
            <w:tcW w:type="dxa" w:w="567"/>
          </w:tcPr>
          <w:p>
            <w:r/>
            <w:r>
              <w:rPr>
                <w:rFonts w:ascii="Calibri" w:hAnsi="Calibri"/>
                <w:sz w:val="15"/>
              </w:rPr>
              <w:t>T17</w:t>
            </w:r>
          </w:p>
        </w:tc>
        <w:tc>
          <w:tcPr>
            <w:tcW w:type="dxa" w:w="1984"/>
          </w:tcPr>
          <w:p>
            <w:r/>
            <w:r>
              <w:rPr>
                <w:rFonts w:ascii="Calibri" w:hAnsi="Calibri"/>
                <w:sz w:val="15"/>
              </w:rPr>
              <w:t>Database console availability</w:t>
            </w:r>
          </w:p>
        </w:tc>
        <w:tc>
          <w:tcPr>
            <w:tcW w:type="dxa" w:w="1814"/>
          </w:tcPr>
          <w:p>
            <w:r/>
            <w:r>
              <w:rPr>
                <w:rFonts w:ascii="Calibri" w:hAnsi="Calibri"/>
                <w:sz w:val="15"/>
              </w:rPr>
              <w:t>HTTP request to the console path</w:t>
            </w:r>
          </w:p>
        </w:tc>
        <w:tc>
          <w:tcPr>
            <w:tcW w:type="dxa" w:w="4479"/>
          </w:tcPr>
          <w:p>
            <w:r/>
            <w:r>
              <w:rPr>
                <w:rFonts w:ascii="Calibri" w:hAnsi="Calibri"/>
                <w:sz w:val="15"/>
              </w:rPr>
              <w:t>302 to the console page after adding the required Spring Boot module</w:t>
            </w:r>
          </w:p>
        </w:tc>
        <w:tc>
          <w:tcPr>
            <w:tcW w:type="dxa" w:w="794"/>
          </w:tcPr>
          <w:p>
            <w:r/>
            <w:r>
              <w:rPr>
                <w:rFonts w:ascii="Calibri" w:hAnsi="Calibri"/>
                <w:sz w:val="15"/>
              </w:rPr>
              <w:t>Pass</w:t>
            </w:r>
          </w:p>
        </w:tc>
      </w:tr>
      <w:tr>
        <w:tc>
          <w:tcPr>
            <w:tcW w:type="dxa" w:w="567"/>
          </w:tcPr>
          <w:p>
            <w:r/>
            <w:r>
              <w:rPr>
                <w:rFonts w:ascii="Calibri" w:hAnsi="Calibri"/>
                <w:sz w:val="15"/>
              </w:rPr>
              <w:t>T18</w:t>
            </w:r>
          </w:p>
        </w:tc>
        <w:tc>
          <w:tcPr>
            <w:tcW w:type="dxa" w:w="1984"/>
          </w:tcPr>
          <w:p>
            <w:r/>
            <w:r>
              <w:rPr>
                <w:rFonts w:ascii="Calibri" w:hAnsi="Calibri"/>
                <w:sz w:val="15"/>
              </w:rPr>
              <w:t>Form field types vs worker parsing</w:t>
            </w:r>
          </w:p>
        </w:tc>
        <w:tc>
          <w:tcPr>
            <w:tcW w:type="dxa" w:w="1814"/>
          </w:tcPr>
          <w:p>
            <w:r/>
            <w:r>
              <w:rPr>
                <w:rFonts w:ascii="Calibri" w:hAnsi="Calibri"/>
                <w:sz w:val="15"/>
              </w:rPr>
              <w:t>Inspection plus targeted fix</w:t>
            </w:r>
          </w:p>
        </w:tc>
        <w:tc>
          <w:tcPr>
            <w:tcW w:type="dxa" w:w="4479"/>
          </w:tcPr>
          <w:p>
            <w:r/>
            <w:r>
              <w:rPr>
                <w:rFonts w:ascii="Calibri" w:hAnsi="Calibri"/>
                <w:sz w:val="15"/>
              </w:rPr>
              <w:t>Date parsing made tolerant; one silent fallback removed</w:t>
            </w:r>
          </w:p>
        </w:tc>
        <w:tc>
          <w:tcPr>
            <w:tcW w:type="dxa" w:w="794"/>
          </w:tcPr>
          <w:p>
            <w:r/>
            <w:r>
              <w:rPr>
                <w:rFonts w:ascii="Calibri" w:hAnsi="Calibri"/>
                <w:sz w:val="15"/>
              </w:rPr>
              <w:t>Pass (after change)</w:t>
            </w:r>
          </w:p>
        </w:tc>
      </w:tr>
    </w:tbl>
    <w:p>
      <w:pPr>
        <w:spacing w:after="40"/>
      </w:pPr>
    </w:p>
    <w:p>
      <w:pPr>
        <w:pStyle w:val="Heading1"/>
      </w:pPr>
      <w:r>
        <w:t>5. Identified failures and deviations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510"/>
          </w:tcPr>
          <w:p>
            <w:r/>
            <w:r>
              <w:rPr>
                <w:rFonts w:ascii="Calibri" w:hAnsi="Calibri"/>
                <w:b/>
                <w:sz w:val="15"/>
              </w:rPr>
              <w:t>ID</w:t>
            </w:r>
          </w:p>
        </w:tc>
        <w:tc>
          <w:tcPr>
            <w:tcW w:type="dxa" w:w="2494"/>
          </w:tcPr>
          <w:p>
            <w:r/>
            <w:r>
              <w:rPr>
                <w:rFonts w:ascii="Calibri" w:hAnsi="Calibri"/>
                <w:b/>
                <w:sz w:val="15"/>
              </w:rPr>
              <w:t>Failure</w:t>
            </w:r>
          </w:p>
        </w:tc>
        <w:tc>
          <w:tcPr>
            <w:tcW w:type="dxa" w:w="1474"/>
          </w:tcPr>
          <w:p>
            <w:r/>
            <w:r>
              <w:rPr>
                <w:rFonts w:ascii="Calibri" w:hAnsi="Calibri"/>
                <w:b/>
                <w:sz w:val="15"/>
              </w:rPr>
              <w:t>How it was found</w:t>
            </w:r>
          </w:p>
        </w:tc>
        <w:tc>
          <w:tcPr>
            <w:tcW w:type="dxa" w:w="1701"/>
          </w:tcPr>
          <w:p>
            <w:r/>
            <w:r>
              <w:rPr>
                <w:rFonts w:ascii="Calibri" w:hAnsi="Calibri"/>
                <w:b/>
                <w:sz w:val="15"/>
              </w:rPr>
              <w:t>Impact</w:t>
            </w:r>
          </w:p>
        </w:tc>
        <w:tc>
          <w:tcPr>
            <w:tcW w:type="dxa" w:w="2381"/>
          </w:tcPr>
          <w:p>
            <w:r/>
            <w:r>
              <w:rPr>
                <w:rFonts w:ascii="Calibri" w:hAnsi="Calibri"/>
                <w:b/>
                <w:sz w:val="15"/>
              </w:rPr>
              <w:t>Action taken</w:t>
            </w:r>
          </w:p>
        </w:tc>
        <w:tc>
          <w:tcPr>
            <w:tcW w:type="dxa" w:w="1077"/>
          </w:tcPr>
          <w:p>
            <w:r/>
            <w:r>
              <w:rPr>
                <w:rFonts w:ascii="Calibri" w:hAnsi="Calibri"/>
                <w:b/>
                <w:sz w:val="15"/>
              </w:rPr>
              <w:t>Residual risk</w:t>
            </w:r>
          </w:p>
        </w:tc>
      </w:tr>
      <w:tr>
        <w:tc>
          <w:tcPr>
            <w:tcW w:type="dxa" w:w="510"/>
          </w:tcPr>
          <w:p>
            <w:r/>
            <w:r>
              <w:rPr>
                <w:rFonts w:ascii="Calibri" w:hAnsi="Calibri"/>
                <w:sz w:val="15"/>
              </w:rPr>
              <w:t>F1</w:t>
            </w:r>
          </w:p>
        </w:tc>
        <w:tc>
          <w:tcPr>
            <w:tcW w:type="dxa" w:w="2494"/>
          </w:tcPr>
          <w:p>
            <w:r/>
            <w:r>
              <w:rPr>
                <w:rFonts w:ascii="Calibri" w:hAnsi="Calibri"/>
                <w:sz w:val="15"/>
              </w:rPr>
              <w:t>Two dependencies in the SR model were reversed (a role was shown depending on itself after refinement)</w:t>
            </w:r>
          </w:p>
        </w:tc>
        <w:tc>
          <w:tcPr>
            <w:tcW w:type="dxa" w:w="1474"/>
          </w:tcPr>
          <w:p>
            <w:r/>
            <w:r>
              <w:rPr>
                <w:rFonts w:ascii="Calibri" w:hAnsi="Calibri"/>
                <w:sz w:val="15"/>
              </w:rPr>
              <w:t>Constraint check</w:t>
            </w:r>
          </w:p>
        </w:tc>
        <w:tc>
          <w:tcPr>
            <w:tcW w:type="dxa" w:w="1701"/>
          </w:tcPr>
          <w:p>
            <w:r/>
            <w:r>
              <w:rPr>
                <w:rFonts w:ascii="Calibri" w:hAnsi="Calibri"/>
                <w:sz w:val="15"/>
              </w:rPr>
              <w:t>Model rejected as invalid</w:t>
            </w:r>
          </w:p>
        </w:tc>
        <w:tc>
          <w:tcPr>
            <w:tcW w:type="dxa" w:w="2381"/>
          </w:tcPr>
          <w:p>
            <w:r/>
            <w:r>
              <w:rPr>
                <w:rFonts w:ascii="Calibri" w:hAnsi="Calibri"/>
                <w:sz w:val="15"/>
              </w:rPr>
              <w:t>Directions corrected to match the SD model; checker rule added</w:t>
            </w:r>
          </w:p>
        </w:tc>
        <w:tc>
          <w:tcPr>
            <w:tcW w:type="dxa" w:w="1077"/>
          </w:tcPr>
          <w:p>
            <w:r/>
            <w:r>
              <w:rPr>
                <w:rFonts w:ascii="Calibri" w:hAnsi="Calibri"/>
                <w:sz w:val="15"/>
              </w:rPr>
              <w:t>None remaining</w:t>
            </w:r>
          </w:p>
        </w:tc>
      </w:tr>
      <w:tr>
        <w:tc>
          <w:tcPr>
            <w:tcW w:type="dxa" w:w="510"/>
          </w:tcPr>
          <w:p>
            <w:r/>
            <w:r>
              <w:rPr>
                <w:rFonts w:ascii="Calibri" w:hAnsi="Calibri"/>
                <w:sz w:val="15"/>
              </w:rPr>
              <w:t>F2</w:t>
            </w:r>
          </w:p>
        </w:tc>
        <w:tc>
          <w:tcPr>
            <w:tcW w:type="dxa" w:w="2494"/>
          </w:tcPr>
          <w:p>
            <w:r/>
            <w:r>
              <w:rPr>
                <w:rFonts w:ascii="Calibri" w:hAnsi="Calibri"/>
                <w:sz w:val="15"/>
              </w:rPr>
              <w:t>A contribution link pointed at a goal, not a quality</w:t>
            </w:r>
          </w:p>
        </w:tc>
        <w:tc>
          <w:tcPr>
            <w:tcW w:type="dxa" w:w="1474"/>
          </w:tcPr>
          <w:p>
            <w:r/>
            <w:r>
              <w:rPr>
                <w:rFonts w:ascii="Calibri" w:hAnsi="Calibri"/>
                <w:sz w:val="15"/>
              </w:rPr>
              <w:t>piStar rejected the model on load</w:t>
            </w:r>
          </w:p>
        </w:tc>
        <w:tc>
          <w:tcPr>
            <w:tcW w:type="dxa" w:w="1701"/>
          </w:tcPr>
          <w:p>
            <w:r/>
            <w:r>
              <w:rPr>
                <w:rFonts w:ascii="Calibri" w:hAnsi="Calibri"/>
                <w:sz w:val="15"/>
              </w:rPr>
              <w:t>Model could not be opened</w:t>
            </w:r>
          </w:p>
        </w:tc>
        <w:tc>
          <w:tcPr>
            <w:tcW w:type="dxa" w:w="2381"/>
          </w:tcPr>
          <w:p>
            <w:r/>
            <w:r>
              <w:rPr>
                <w:rFonts w:ascii="Calibri" w:hAnsi="Calibri"/>
                <w:sz w:val="15"/>
              </w:rPr>
              <w:t>Quality element added and the link re-targeted</w:t>
            </w:r>
          </w:p>
        </w:tc>
        <w:tc>
          <w:tcPr>
            <w:tcW w:type="dxa" w:w="1077"/>
          </w:tcPr>
          <w:p>
            <w:r/>
            <w:r>
              <w:rPr>
                <w:rFonts w:ascii="Calibri" w:hAnsi="Calibri"/>
                <w:sz w:val="15"/>
              </w:rPr>
              <w:t>None remaining</w:t>
            </w:r>
          </w:p>
        </w:tc>
      </w:tr>
      <w:tr>
        <w:tc>
          <w:tcPr>
            <w:tcW w:type="dxa" w:w="510"/>
          </w:tcPr>
          <w:p>
            <w:r/>
            <w:r>
              <w:rPr>
                <w:rFonts w:ascii="Calibri" w:hAnsi="Calibri"/>
                <w:sz w:val="15"/>
              </w:rPr>
              <w:t>F3</w:t>
            </w:r>
          </w:p>
        </w:tc>
        <w:tc>
          <w:tcPr>
            <w:tcW w:type="dxa" w:w="2494"/>
          </w:tcPr>
          <w:p>
            <w:r/>
            <w:r>
              <w:rPr>
                <w:rFonts w:ascii="Calibri" w:hAnsi="Calibri"/>
                <w:sz w:val="15"/>
              </w:rPr>
              <w:t>Isolated elements plus a missing external participant in the SR model</w:t>
            </w:r>
          </w:p>
        </w:tc>
        <w:tc>
          <w:tcPr>
            <w:tcW w:type="dxa" w:w="1474"/>
          </w:tcPr>
          <w:p>
            <w:r/>
            <w:r>
              <w:rPr>
                <w:rFonts w:ascii="Calibri" w:hAnsi="Calibri"/>
                <w:sz w:val="15"/>
              </w:rPr>
              <w:t>Structural check</w:t>
            </w:r>
          </w:p>
        </w:tc>
        <w:tc>
          <w:tcPr>
            <w:tcW w:type="dxa" w:w="1701"/>
          </w:tcPr>
          <w:p>
            <w:r/>
            <w:r>
              <w:rPr>
                <w:rFonts w:ascii="Calibri" w:hAnsi="Calibri"/>
                <w:sz w:val="15"/>
              </w:rPr>
              <w:t>Two disconnected areas and one absent actor</w:t>
            </w:r>
          </w:p>
        </w:tc>
        <w:tc>
          <w:tcPr>
            <w:tcW w:type="dxa" w:w="2381"/>
          </w:tcPr>
          <w:p>
            <w:r/>
            <w:r>
              <w:rPr>
                <w:rFonts w:ascii="Calibri" w:hAnsi="Calibri"/>
                <w:sz w:val="15"/>
              </w:rPr>
              <w:t>Four contribution links added; External Correspondence Service added with its dependency</w:t>
            </w:r>
          </w:p>
        </w:tc>
        <w:tc>
          <w:tcPr>
            <w:tcW w:type="dxa" w:w="1077"/>
          </w:tcPr>
          <w:p>
            <w:r/>
            <w:r>
              <w:rPr>
                <w:rFonts w:ascii="Calibri" w:hAnsi="Calibri"/>
                <w:sz w:val="15"/>
              </w:rPr>
              <w:t>None remaining</w:t>
            </w:r>
          </w:p>
        </w:tc>
      </w:tr>
      <w:tr>
        <w:tc>
          <w:tcPr>
            <w:tcW w:type="dxa" w:w="510"/>
          </w:tcPr>
          <w:p>
            <w:r/>
            <w:r>
              <w:rPr>
                <w:rFonts w:ascii="Calibri" w:hAnsi="Calibri"/>
                <w:sz w:val="15"/>
              </w:rPr>
              <w:t>F4</w:t>
            </w:r>
          </w:p>
        </w:tc>
        <w:tc>
          <w:tcPr>
            <w:tcW w:type="dxa" w:w="2494"/>
          </w:tcPr>
          <w:p>
            <w:r/>
            <w:r>
              <w:rPr>
                <w:rFonts w:ascii="Calibri" w:hAnsi="Calibri"/>
                <w:sz w:val="15"/>
              </w:rPr>
              <w:t>P10 letter worker parsed a form date-time value with Instant.parse; parsing failed and the code silently used the current time</w:t>
            </w:r>
          </w:p>
        </w:tc>
        <w:tc>
          <w:tcPr>
            <w:tcW w:type="dxa" w:w="1474"/>
          </w:tcPr>
          <w:p>
            <w:r/>
            <w:r>
              <w:rPr>
                <w:rFonts w:ascii="Calibri" w:hAnsi="Calibri"/>
                <w:sz w:val="15"/>
              </w:rPr>
              <w:t>Code review after form fields were retyped</w:t>
            </w:r>
          </w:p>
        </w:tc>
        <w:tc>
          <w:tcPr>
            <w:tcW w:type="dxa" w:w="1701"/>
          </w:tcPr>
          <w:p>
            <w:r/>
            <w:r>
              <w:rPr>
                <w:rFonts w:ascii="Calibri" w:hAnsi="Calibri"/>
                <w:sz w:val="15"/>
              </w:rPr>
              <w:t>The 7-day target could be judged incorrectly, with no error raised</w:t>
            </w:r>
          </w:p>
        </w:tc>
        <w:tc>
          <w:tcPr>
            <w:tcW w:type="dxa" w:w="2381"/>
          </w:tcPr>
          <w:p>
            <w:r/>
            <w:r>
              <w:rPr>
                <w:rFonts w:ascii="Calibri" w:hAnsi="Calibri"/>
                <w:sz w:val="15"/>
              </w:rPr>
              <w:t>Tolerant parsing added (Instant, then OffsetDateTime, then LocalDateTime); the shared date helper got the same fallback</w:t>
            </w:r>
          </w:p>
        </w:tc>
        <w:tc>
          <w:tcPr>
            <w:tcW w:type="dxa" w:w="1077"/>
          </w:tcPr>
          <w:p>
            <w:r/>
            <w:r>
              <w:rPr>
                <w:rFonts w:ascii="Calibri" w:hAnsi="Calibri"/>
                <w:sz w:val="15"/>
              </w:rPr>
              <w:t>Low - no regression test</w:t>
            </w:r>
          </w:p>
        </w:tc>
      </w:tr>
      <w:tr>
        <w:tc>
          <w:tcPr>
            <w:tcW w:type="dxa" w:w="510"/>
          </w:tcPr>
          <w:p>
            <w:r/>
            <w:r>
              <w:rPr>
                <w:rFonts w:ascii="Calibri" w:hAnsi="Calibri"/>
                <w:sz w:val="15"/>
              </w:rPr>
              <w:t>F5</w:t>
            </w:r>
          </w:p>
        </w:tc>
        <w:tc>
          <w:tcPr>
            <w:tcW w:type="dxa" w:w="2494"/>
          </w:tcPr>
          <w:p>
            <w:r/>
            <w:r>
              <w:rPr>
                <w:rFonts w:ascii="Calibri" w:hAnsi="Calibri"/>
                <w:sz w:val="15"/>
              </w:rPr>
              <w:t>Duplicate job types across projects (letter-dispatch, notify-pathway-coordinator, funding-validation implemented twice)</w:t>
            </w:r>
          </w:p>
        </w:tc>
        <w:tc>
          <w:tcPr>
            <w:tcW w:type="dxa" w:w="1474"/>
          </w:tcPr>
          <w:p>
            <w:r/>
            <w:r>
              <w:rPr>
                <w:rFonts w:ascii="Calibri" w:hAnsi="Calibri"/>
                <w:sz w:val="15"/>
              </w:rPr>
              <w:t>Static analysis of the worker projects</w:t>
            </w:r>
          </w:p>
        </w:tc>
        <w:tc>
          <w:tcPr>
            <w:tcW w:type="dxa" w:w="1701"/>
          </w:tcPr>
          <w:p>
            <w:r/>
            <w:r>
              <w:rPr>
                <w:rFonts w:ascii="Calibri" w:hAnsi="Calibri"/>
                <w:sz w:val="15"/>
              </w:rPr>
              <w:t>Two applications running together would compete for the same jobs</w:t>
            </w:r>
          </w:p>
        </w:tc>
        <w:tc>
          <w:tcPr>
            <w:tcW w:type="dxa" w:w="2381"/>
          </w:tcPr>
          <w:p>
            <w:r/>
            <w:r>
              <w:rPr>
                <w:rFonts w:ascii="Calibri" w:hAnsi="Calibri"/>
                <w:sz w:val="15"/>
              </w:rPr>
              <w:t>Documented; only the shared project is used for demonstration</w:t>
            </w:r>
          </w:p>
        </w:tc>
        <w:tc>
          <w:tcPr>
            <w:tcW w:type="dxa" w:w="1077"/>
          </w:tcPr>
          <w:p>
            <w:r/>
            <w:r>
              <w:rPr>
                <w:rFonts w:ascii="Calibri" w:hAnsi="Calibri"/>
                <w:sz w:val="15"/>
              </w:rPr>
              <w:t>Medium - operational constraint</w:t>
            </w:r>
          </w:p>
        </w:tc>
      </w:tr>
      <w:tr>
        <w:tc>
          <w:tcPr>
            <w:tcW w:type="dxa" w:w="510"/>
          </w:tcPr>
          <w:p>
            <w:r/>
            <w:r>
              <w:rPr>
                <w:rFonts w:ascii="Calibri" w:hAnsi="Calibri"/>
                <w:sz w:val="15"/>
              </w:rPr>
              <w:t>F6</w:t>
            </w:r>
          </w:p>
        </w:tc>
        <w:tc>
          <w:tcPr>
            <w:tcW w:type="dxa" w:w="2494"/>
          </w:tcPr>
          <w:p>
            <w:r/>
            <w:r>
              <w:rPr>
                <w:rFonts w:ascii="Calibri" w:hAnsi="Calibri"/>
                <w:sz w:val="15"/>
              </w:rPr>
              <w:t>File-based H2 store not tested for concurrent or high-volume access</w:t>
            </w:r>
          </w:p>
        </w:tc>
        <w:tc>
          <w:tcPr>
            <w:tcW w:type="dxa" w:w="1474"/>
          </w:tcPr>
          <w:p>
            <w:r/>
            <w:r>
              <w:rPr>
                <w:rFonts w:ascii="Calibri" w:hAnsi="Calibri"/>
                <w:sz w:val="15"/>
              </w:rPr>
              <w:t>Not tested</w:t>
            </w:r>
          </w:p>
        </w:tc>
        <w:tc>
          <w:tcPr>
            <w:tcW w:type="dxa" w:w="1701"/>
          </w:tcPr>
          <w:p>
            <w:r/>
            <w:r>
              <w:rPr>
                <w:rFonts w:ascii="Calibri" w:hAnsi="Calibri"/>
                <w:sz w:val="15"/>
              </w:rPr>
              <w:t>Unknown behaviour under load</w:t>
            </w:r>
          </w:p>
        </w:tc>
        <w:tc>
          <w:tcPr>
            <w:tcW w:type="dxa" w:w="2381"/>
          </w:tcPr>
          <w:p>
            <w:r/>
            <w:r>
              <w:rPr>
                <w:rFonts w:ascii="Calibri" w:hAnsi="Calibri"/>
                <w:sz w:val="15"/>
              </w:rPr>
              <w:t>Documented as a demonstration limitation</w:t>
            </w:r>
          </w:p>
        </w:tc>
        <w:tc>
          <w:tcPr>
            <w:tcW w:type="dxa" w:w="1077"/>
          </w:tcPr>
          <w:p>
            <w:r/>
            <w:r>
              <w:rPr>
                <w:rFonts w:ascii="Calibri" w:hAnsi="Calibri"/>
                <w:sz w:val="15"/>
              </w:rPr>
              <w:t>Medium for production use</w:t>
            </w:r>
          </w:p>
        </w:tc>
      </w:tr>
      <w:tr>
        <w:tc>
          <w:tcPr>
            <w:tcW w:type="dxa" w:w="510"/>
          </w:tcPr>
          <w:p>
            <w:r/>
            <w:r>
              <w:rPr>
                <w:rFonts w:ascii="Calibri" w:hAnsi="Calibri"/>
                <w:sz w:val="15"/>
              </w:rPr>
              <w:t>F7</w:t>
            </w:r>
          </w:p>
        </w:tc>
        <w:tc>
          <w:tcPr>
            <w:tcW w:type="dxa" w:w="2494"/>
          </w:tcPr>
          <w:p>
            <w:r/>
            <w:r>
              <w:rPr>
                <w:rFonts w:ascii="Calibri" w:hAnsi="Calibri"/>
                <w:sz w:val="15"/>
              </w:rPr>
              <w:t>No automated regression suite; verification is scripted and manual</w:t>
            </w:r>
          </w:p>
        </w:tc>
        <w:tc>
          <w:tcPr>
            <w:tcW w:type="dxa" w:w="1474"/>
          </w:tcPr>
          <w:p>
            <w:r/>
            <w:r>
              <w:rPr>
                <w:rFonts w:ascii="Calibri" w:hAnsi="Calibri"/>
                <w:sz w:val="15"/>
              </w:rPr>
              <w:t>Self-assessment</w:t>
            </w:r>
          </w:p>
        </w:tc>
        <w:tc>
          <w:tcPr>
            <w:tcW w:type="dxa" w:w="1701"/>
          </w:tcPr>
          <w:p>
            <w:r/>
            <w:r>
              <w:rPr>
                <w:rFonts w:ascii="Calibri" w:hAnsi="Calibri"/>
                <w:sz w:val="15"/>
              </w:rPr>
              <w:t>Repeatability depends on the scripts being run in order</w:t>
            </w:r>
          </w:p>
        </w:tc>
        <w:tc>
          <w:tcPr>
            <w:tcW w:type="dxa" w:w="2381"/>
          </w:tcPr>
          <w:p>
            <w:r/>
            <w:r>
              <w:rPr>
                <w:rFonts w:ascii="Calibri" w:hAnsi="Calibri"/>
                <w:sz w:val="15"/>
              </w:rPr>
              <w:t>Scripts kept in the repository for deployment, demonstration and checks</w:t>
            </w:r>
          </w:p>
        </w:tc>
        <w:tc>
          <w:tcPr>
            <w:tcW w:type="dxa" w:w="1077"/>
          </w:tcPr>
          <w:p>
            <w:r/>
            <w:r>
              <w:rPr>
                <w:rFonts w:ascii="Calibri" w:hAnsi="Calibri"/>
                <w:sz w:val="15"/>
              </w:rPr>
              <w:t>Medium</w:t>
            </w:r>
          </w:p>
        </w:tc>
      </w:tr>
      <w:tr>
        <w:tc>
          <w:tcPr>
            <w:tcW w:type="dxa" w:w="510"/>
          </w:tcPr>
          <w:p>
            <w:r/>
            <w:r>
              <w:rPr>
                <w:rFonts w:ascii="Calibri" w:hAnsi="Calibri"/>
                <w:sz w:val="15"/>
              </w:rPr>
              <w:t>F8</w:t>
            </w:r>
          </w:p>
        </w:tc>
        <w:tc>
          <w:tcPr>
            <w:tcW w:type="dxa" w:w="2494"/>
          </w:tcPr>
          <w:p>
            <w:r/>
            <w:r>
              <w:rPr>
                <w:rFonts w:ascii="Calibri" w:hAnsi="Calibri"/>
                <w:sz w:val="15"/>
              </w:rPr>
              <w:t>Stale build output caused contradictory behaviour during a demonstration (an obsolete default value appeared in the database)</w:t>
            </w:r>
          </w:p>
        </w:tc>
        <w:tc>
          <w:tcPr>
            <w:tcW w:type="dxa" w:w="1474"/>
          </w:tcPr>
          <w:p>
            <w:r/>
            <w:r>
              <w:rPr>
                <w:rFonts w:ascii="Calibri" w:hAnsi="Calibri"/>
                <w:sz w:val="15"/>
              </w:rPr>
              <w:t>Observed during demonstration</w:t>
            </w:r>
          </w:p>
        </w:tc>
        <w:tc>
          <w:tcPr>
            <w:tcW w:type="dxa" w:w="1701"/>
          </w:tcPr>
          <w:p>
            <w:r/>
            <w:r>
              <w:rPr>
                <w:rFonts w:ascii="Calibri" w:hAnsi="Calibri"/>
                <w:sz w:val="15"/>
              </w:rPr>
              <w:t>Data did not match the current source</w:t>
            </w:r>
          </w:p>
        </w:tc>
        <w:tc>
          <w:tcPr>
            <w:tcW w:type="dxa" w:w="2381"/>
          </w:tcPr>
          <w:p>
            <w:r/>
            <w:r>
              <w:rPr>
                <w:rFonts w:ascii="Calibri" w:hAnsi="Calibri"/>
                <w:sz w:val="15"/>
              </w:rPr>
              <w:t>Clean rebuild; build output excluded from the repository package</w:t>
            </w:r>
          </w:p>
        </w:tc>
        <w:tc>
          <w:tcPr>
            <w:tcW w:type="dxa" w:w="1077"/>
          </w:tcPr>
          <w:p>
            <w:r/>
            <w:r>
              <w:rPr>
                <w:rFonts w:ascii="Calibri" w:hAnsi="Calibri"/>
                <w:sz w:val="15"/>
              </w:rPr>
              <w:t>Low</w:t>
            </w:r>
          </w:p>
        </w:tc>
      </w:tr>
    </w:tbl>
    <w:p>
      <w:pPr>
        <w:spacing w:after="40"/>
      </w:pPr>
    </w:p>
    <w:p>
      <w:pPr>
        <w:pStyle w:val="Heading1"/>
      </w:pPr>
      <w:r>
        <w:t>6. Verdict against the revised criteria</w:t>
      </w:r>
    </w:p>
    <w:tbl>
      <w:tblPr>
        <w:tblStyle w:val="TableGrid"/>
        <w:tblW w:type="auto" w:w="0"/>
        <w:jc w:val="center"/>
        <w:tblLook w:firstColumn="1" w:firstRow="1" w:lastColumn="0" w:lastRow="0" w:noHBand="0" w:noVBand="1" w:val="04A0"/>
      </w:tblPr>
      <w:tblGrid>
        <w:gridCol w:w="3213"/>
        <w:gridCol w:w="3213"/>
        <w:gridCol w:w="3213"/>
      </w:tblGrid>
      <w:tr>
        <w:tc>
          <w:tcPr>
            <w:tcW w:type="dxa" w:w="1361"/>
          </w:tcPr>
          <w:p>
            <w:r/>
            <w:r>
              <w:rPr>
                <w:rFonts w:ascii="Calibri" w:hAnsi="Calibri"/>
                <w:b/>
                <w:sz w:val="15"/>
              </w:rPr>
              <w:t>Criterion</w:t>
            </w:r>
          </w:p>
        </w:tc>
        <w:tc>
          <w:tcPr>
            <w:tcW w:type="dxa" w:w="2041"/>
          </w:tcPr>
          <w:p>
            <w:r/>
            <w:r>
              <w:rPr>
                <w:rFonts w:ascii="Calibri" w:hAnsi="Calibri"/>
                <w:b/>
                <w:sz w:val="15"/>
              </w:rPr>
              <w:t>Verdict</w:t>
            </w:r>
          </w:p>
        </w:tc>
        <w:tc>
          <w:tcPr>
            <w:tcW w:type="dxa" w:w="6236"/>
          </w:tcPr>
          <w:p>
            <w:r/>
            <w:r>
              <w:rPr>
                <w:rFonts w:ascii="Calibri" w:hAnsi="Calibri"/>
                <w:b/>
                <w:sz w:val="15"/>
              </w:rPr>
              <w:t>Basis</w:t>
            </w:r>
          </w:p>
        </w:tc>
      </w:tr>
      <w:tr>
        <w:tc>
          <w:tcPr>
            <w:tcW w:type="dxa" w:w="1361"/>
          </w:tcPr>
          <w:p>
            <w:r/>
            <w:r>
              <w:rPr>
                <w:rFonts w:ascii="Calibri" w:hAnsi="Calibri"/>
                <w:sz w:val="15"/>
              </w:rPr>
              <w:t>AC-B1</w:t>
            </w:r>
          </w:p>
        </w:tc>
        <w:tc>
          <w:tcPr>
            <w:tcW w:type="dxa" w:w="2041"/>
          </w:tcPr>
          <w:p>
            <w:r/>
            <w:r>
              <w:rPr>
                <w:rFonts w:ascii="Calibri" w:hAnsi="Calibri"/>
                <w:sz w:val="15"/>
              </w:rPr>
              <w:t>Met</w:t>
            </w:r>
          </w:p>
        </w:tc>
        <w:tc>
          <w:tcPr>
            <w:tcW w:type="dxa" w:w="6236"/>
          </w:tcPr>
          <w:p>
            <w:r/>
            <w:r>
              <w:rPr>
                <w:rFonts w:ascii="Calibri" w:hAnsi="Calibri"/>
                <w:sz w:val="15"/>
              </w:rPr>
              <w:t>T2: implicit merges 0 across all models</w:t>
            </w:r>
          </w:p>
        </w:tc>
      </w:tr>
      <w:tr>
        <w:tc>
          <w:tcPr>
            <w:tcW w:type="dxa" w:w="1361"/>
          </w:tcPr>
          <w:p>
            <w:r/>
            <w:r>
              <w:rPr>
                <w:rFonts w:ascii="Calibri" w:hAnsi="Calibri"/>
                <w:sz w:val="15"/>
              </w:rPr>
              <w:t>AC-B2</w:t>
            </w:r>
          </w:p>
        </w:tc>
        <w:tc>
          <w:tcPr>
            <w:tcW w:type="dxa" w:w="2041"/>
          </w:tcPr>
          <w:p>
            <w:r/>
            <w:r>
              <w:rPr>
                <w:rFonts w:ascii="Calibri" w:hAnsi="Calibri"/>
                <w:sz w:val="15"/>
              </w:rPr>
              <w:t>Met (inspection)</w:t>
            </w:r>
          </w:p>
        </w:tc>
        <w:tc>
          <w:tcPr>
            <w:tcW w:type="dxa" w:w="6236"/>
          </w:tcPr>
          <w:p>
            <w:r/>
            <w:r>
              <w:rPr>
                <w:rFonts w:ascii="Calibri" w:hAnsi="Calibri"/>
                <w:sz w:val="15"/>
              </w:rPr>
              <w:t>All decision conditions guard the form object before reading it</w:t>
            </w:r>
          </w:p>
        </w:tc>
      </w:tr>
      <w:tr>
        <w:tc>
          <w:tcPr>
            <w:tcW w:type="dxa" w:w="1361"/>
          </w:tcPr>
          <w:p>
            <w:r/>
            <w:r>
              <w:rPr>
                <w:rFonts w:ascii="Calibri" w:hAnsi="Calibri"/>
                <w:sz w:val="15"/>
              </w:rPr>
              <w:t>AC-B3</w:t>
            </w:r>
          </w:p>
        </w:tc>
        <w:tc>
          <w:tcPr>
            <w:tcW w:type="dxa" w:w="2041"/>
          </w:tcPr>
          <w:p>
            <w:r/>
            <w:r>
              <w:rPr>
                <w:rFonts w:ascii="Calibri" w:hAnsi="Calibri"/>
                <w:sz w:val="15"/>
              </w:rPr>
              <w:t>Met (inspection)</w:t>
            </w:r>
          </w:p>
        </w:tc>
        <w:tc>
          <w:tcPr>
            <w:tcW w:type="dxa" w:w="6236"/>
          </w:tcPr>
          <w:p>
            <w:r/>
            <w:r>
              <w:rPr>
                <w:rFonts w:ascii="Calibri" w:hAnsi="Calibri"/>
                <w:sz w:val="15"/>
              </w:rPr>
              <w:t>Two-week test uses date() comparison on both sides</w:t>
            </w:r>
          </w:p>
        </w:tc>
      </w:tr>
      <w:tr>
        <w:tc>
          <w:tcPr>
            <w:tcW w:type="dxa" w:w="1361"/>
          </w:tcPr>
          <w:p>
            <w:r/>
            <w:r>
              <w:rPr>
                <w:rFonts w:ascii="Calibri" w:hAnsi="Calibri"/>
                <w:sz w:val="15"/>
              </w:rPr>
              <w:t>AC-B4</w:t>
            </w:r>
          </w:p>
        </w:tc>
        <w:tc>
          <w:tcPr>
            <w:tcW w:type="dxa" w:w="2041"/>
          </w:tcPr>
          <w:p>
            <w:r/>
            <w:r>
              <w:rPr>
                <w:rFonts w:ascii="Calibri" w:hAnsi="Calibri"/>
                <w:sz w:val="15"/>
              </w:rPr>
              <w:t>Met</w:t>
            </w:r>
          </w:p>
        </w:tc>
        <w:tc>
          <w:tcPr>
            <w:tcW w:type="dxa" w:w="6236"/>
          </w:tcPr>
          <w:p>
            <w:r/>
            <w:r>
              <w:rPr>
                <w:rFonts w:ascii="Calibri" w:hAnsi="Calibri"/>
                <w:sz w:val="15"/>
              </w:rPr>
              <w:t>T4: 131 validated fields</w:t>
            </w:r>
          </w:p>
        </w:tc>
      </w:tr>
      <w:tr>
        <w:tc>
          <w:tcPr>
            <w:tcW w:type="dxa" w:w="1361"/>
          </w:tcPr>
          <w:p>
            <w:r/>
            <w:r>
              <w:rPr>
                <w:rFonts w:ascii="Calibri" w:hAnsi="Calibri"/>
                <w:sz w:val="15"/>
              </w:rPr>
              <w:t>AC-B5</w:t>
            </w:r>
          </w:p>
        </w:tc>
        <w:tc>
          <w:tcPr>
            <w:tcW w:type="dxa" w:w="2041"/>
          </w:tcPr>
          <w:p>
            <w:r/>
            <w:r>
              <w:rPr>
                <w:rFonts w:ascii="Calibri" w:hAnsi="Calibri"/>
                <w:sz w:val="15"/>
              </w:rPr>
              <w:t>Met</w:t>
            </w:r>
          </w:p>
        </w:tc>
        <w:tc>
          <w:tcPr>
            <w:tcW w:type="dxa" w:w="6236"/>
          </w:tcPr>
          <w:p>
            <w:r/>
            <w:r>
              <w:rPr>
                <w:rFonts w:ascii="Calibri" w:hAnsi="Calibri"/>
                <w:sz w:val="15"/>
              </w:rPr>
              <w:t>T5 plus design note in the change record</w:t>
            </w:r>
          </w:p>
        </w:tc>
      </w:tr>
      <w:tr>
        <w:tc>
          <w:tcPr>
            <w:tcW w:type="dxa" w:w="1361"/>
          </w:tcPr>
          <w:p>
            <w:r/>
            <w:r>
              <w:rPr>
                <w:rFonts w:ascii="Calibri" w:hAnsi="Calibri"/>
                <w:sz w:val="15"/>
              </w:rPr>
              <w:t>AC-B6</w:t>
            </w:r>
          </w:p>
        </w:tc>
        <w:tc>
          <w:tcPr>
            <w:tcW w:type="dxa" w:w="2041"/>
          </w:tcPr>
          <w:p>
            <w:r/>
            <w:r>
              <w:rPr>
                <w:rFonts w:ascii="Calibri" w:hAnsi="Calibri"/>
                <w:sz w:val="15"/>
              </w:rPr>
              <w:t>Met</w:t>
            </w:r>
          </w:p>
        </w:tc>
        <w:tc>
          <w:tcPr>
            <w:tcW w:type="dxa" w:w="6236"/>
          </w:tcPr>
          <w:p>
            <w:r/>
            <w:r>
              <w:rPr>
                <w:rFonts w:ascii="Calibri" w:hAnsi="Calibri"/>
                <w:sz w:val="15"/>
              </w:rPr>
              <w:t>T8: 11 tables populated</w:t>
            </w:r>
          </w:p>
        </w:tc>
      </w:tr>
      <w:tr>
        <w:tc>
          <w:tcPr>
            <w:tcW w:type="dxa" w:w="1361"/>
          </w:tcPr>
          <w:p>
            <w:r/>
            <w:r>
              <w:rPr>
                <w:rFonts w:ascii="Calibri" w:hAnsi="Calibri"/>
                <w:sz w:val="15"/>
              </w:rPr>
              <w:t>AC-B7</w:t>
            </w:r>
          </w:p>
        </w:tc>
        <w:tc>
          <w:tcPr>
            <w:tcW w:type="dxa" w:w="2041"/>
          </w:tcPr>
          <w:p>
            <w:r/>
            <w:r>
              <w:rPr>
                <w:rFonts w:ascii="Calibri" w:hAnsi="Calibri"/>
                <w:sz w:val="15"/>
              </w:rPr>
              <w:t>Met</w:t>
            </w:r>
          </w:p>
        </w:tc>
        <w:tc>
          <w:tcPr>
            <w:tcW w:type="dxa" w:w="6236"/>
          </w:tcPr>
          <w:p>
            <w:r/>
            <w:r>
              <w:rPr>
                <w:rFonts w:ascii="Calibri" w:hAnsi="Calibri"/>
                <w:sz w:val="15"/>
              </w:rPr>
              <w:t>T8, T12: process_audit written by every worker</w:t>
            </w:r>
          </w:p>
        </w:tc>
      </w:tr>
      <w:tr>
        <w:tc>
          <w:tcPr>
            <w:tcW w:type="dxa" w:w="1361"/>
          </w:tcPr>
          <w:p>
            <w:r/>
            <w:r>
              <w:rPr>
                <w:rFonts w:ascii="Calibri" w:hAnsi="Calibri"/>
                <w:sz w:val="15"/>
              </w:rPr>
              <w:t>AC-B8</w:t>
            </w:r>
          </w:p>
        </w:tc>
        <w:tc>
          <w:tcPr>
            <w:tcW w:type="dxa" w:w="2041"/>
          </w:tcPr>
          <w:p>
            <w:r/>
            <w:r>
              <w:rPr>
                <w:rFonts w:ascii="Calibri" w:hAnsi="Calibri"/>
                <w:sz w:val="15"/>
              </w:rPr>
              <w:t>Met</w:t>
            </w:r>
          </w:p>
        </w:tc>
        <w:tc>
          <w:tcPr>
            <w:tcW w:type="dxa" w:w="6236"/>
          </w:tcPr>
          <w:p>
            <w:r/>
            <w:r>
              <w:rPr>
                <w:rFonts w:ascii="Calibri" w:hAnsi="Calibri"/>
                <w:sz w:val="15"/>
              </w:rPr>
              <w:t>T10</w:t>
            </w:r>
          </w:p>
        </w:tc>
      </w:tr>
      <w:tr>
        <w:tc>
          <w:tcPr>
            <w:tcW w:type="dxa" w:w="1361"/>
          </w:tcPr>
          <w:p>
            <w:r/>
            <w:r>
              <w:rPr>
                <w:rFonts w:ascii="Calibri" w:hAnsi="Calibri"/>
                <w:sz w:val="15"/>
              </w:rPr>
              <w:t>AC-B9</w:t>
            </w:r>
          </w:p>
        </w:tc>
        <w:tc>
          <w:tcPr>
            <w:tcW w:type="dxa" w:w="2041"/>
          </w:tcPr>
          <w:p>
            <w:r/>
            <w:r>
              <w:rPr>
                <w:rFonts w:ascii="Calibri" w:hAnsi="Calibri"/>
                <w:sz w:val="15"/>
              </w:rPr>
              <w:t>Met</w:t>
            </w:r>
          </w:p>
        </w:tc>
        <w:tc>
          <w:tcPr>
            <w:tcW w:type="dxa" w:w="6236"/>
          </w:tcPr>
          <w:p>
            <w:r/>
            <w:r>
              <w:rPr>
                <w:rFonts w:ascii="Calibri" w:hAnsi="Calibri"/>
                <w:sz w:val="15"/>
              </w:rPr>
              <w:t>T9</w:t>
            </w:r>
          </w:p>
        </w:tc>
      </w:tr>
      <w:tr>
        <w:tc>
          <w:tcPr>
            <w:tcW w:type="dxa" w:w="1361"/>
          </w:tcPr>
          <w:p>
            <w:r/>
            <w:r>
              <w:rPr>
                <w:rFonts w:ascii="Calibri" w:hAnsi="Calibri"/>
                <w:sz w:val="15"/>
              </w:rPr>
              <w:t>AC-B10</w:t>
            </w:r>
          </w:p>
        </w:tc>
        <w:tc>
          <w:tcPr>
            <w:tcW w:type="dxa" w:w="2041"/>
          </w:tcPr>
          <w:p>
            <w:r/>
            <w:r>
              <w:rPr>
                <w:rFonts w:ascii="Calibri" w:hAnsi="Calibri"/>
                <w:sz w:val="15"/>
              </w:rPr>
              <w:t>Met</w:t>
            </w:r>
          </w:p>
        </w:tc>
        <w:tc>
          <w:tcPr>
            <w:tcW w:type="dxa" w:w="6236"/>
          </w:tcPr>
          <w:p>
            <w:r/>
            <w:r>
              <w:rPr>
                <w:rFonts w:ascii="Calibri" w:hAnsi="Calibri"/>
                <w:sz w:val="15"/>
              </w:rPr>
              <w:t>T11: tasks visible only to their group</w:t>
            </w:r>
          </w:p>
        </w:tc>
      </w:tr>
      <w:tr>
        <w:tc>
          <w:tcPr>
            <w:tcW w:type="dxa" w:w="1361"/>
          </w:tcPr>
          <w:p>
            <w:r/>
            <w:r>
              <w:rPr>
                <w:rFonts w:ascii="Calibri" w:hAnsi="Calibri"/>
                <w:sz w:val="15"/>
              </w:rPr>
              <w:t>AC-B11</w:t>
            </w:r>
          </w:p>
        </w:tc>
        <w:tc>
          <w:tcPr>
            <w:tcW w:type="dxa" w:w="2041"/>
          </w:tcPr>
          <w:p>
            <w:r/>
            <w:r>
              <w:rPr>
                <w:rFonts w:ascii="Calibri" w:hAnsi="Calibri"/>
                <w:sz w:val="15"/>
              </w:rPr>
              <w:t>Met</w:t>
            </w:r>
          </w:p>
        </w:tc>
        <w:tc>
          <w:tcPr>
            <w:tcW w:type="dxa" w:w="6236"/>
          </w:tcPr>
          <w:p>
            <w:r/>
            <w:r>
              <w:rPr>
                <w:rFonts w:ascii="Calibri" w:hAnsi="Calibri"/>
                <w:sz w:val="15"/>
              </w:rPr>
              <w:t>T2, T3, T4, T5</w:t>
            </w:r>
          </w:p>
        </w:tc>
      </w:tr>
      <w:tr>
        <w:tc>
          <w:tcPr>
            <w:tcW w:type="dxa" w:w="1361"/>
          </w:tcPr>
          <w:p>
            <w:r/>
            <w:r>
              <w:rPr>
                <w:rFonts w:ascii="Calibri" w:hAnsi="Calibri"/>
                <w:sz w:val="15"/>
              </w:rPr>
              <w:t>AC-B12</w:t>
            </w:r>
          </w:p>
        </w:tc>
        <w:tc>
          <w:tcPr>
            <w:tcW w:type="dxa" w:w="2041"/>
          </w:tcPr>
          <w:p>
            <w:r/>
            <w:r>
              <w:rPr>
                <w:rFonts w:ascii="Calibri" w:hAnsi="Calibri"/>
                <w:sz w:val="15"/>
              </w:rPr>
              <w:t>Met</w:t>
            </w:r>
          </w:p>
        </w:tc>
        <w:tc>
          <w:tcPr>
            <w:tcW w:type="dxa" w:w="6236"/>
          </w:tcPr>
          <w:p>
            <w:r/>
            <w:r>
              <w:rPr>
                <w:rFonts w:ascii="Calibri" w:hAnsi="Calibri"/>
                <w:sz w:val="15"/>
              </w:rPr>
              <w:t>T13, T14</w:t>
            </w:r>
          </w:p>
        </w:tc>
      </w:tr>
      <w:tr>
        <w:tc>
          <w:tcPr>
            <w:tcW w:type="dxa" w:w="1361"/>
          </w:tcPr>
          <w:p>
            <w:r/>
            <w:r>
              <w:rPr>
                <w:rFonts w:ascii="Calibri" w:hAnsi="Calibri"/>
                <w:sz w:val="15"/>
              </w:rPr>
              <w:t>AC-B13</w:t>
            </w:r>
          </w:p>
        </w:tc>
        <w:tc>
          <w:tcPr>
            <w:tcW w:type="dxa" w:w="2041"/>
          </w:tcPr>
          <w:p>
            <w:r/>
            <w:r>
              <w:rPr>
                <w:rFonts w:ascii="Calibri" w:hAnsi="Calibri"/>
                <w:sz w:val="15"/>
              </w:rPr>
              <w:t>Met</w:t>
            </w:r>
          </w:p>
        </w:tc>
        <w:tc>
          <w:tcPr>
            <w:tcW w:type="dxa" w:w="6236"/>
          </w:tcPr>
          <w:p>
            <w:r/>
            <w:r>
              <w:rPr>
                <w:rFonts w:ascii="Calibri" w:hAnsi="Calibri"/>
                <w:sz w:val="15"/>
              </w:rPr>
              <w:t>Deployment and demonstration scripts plus updated README</w:t>
            </w:r>
          </w:p>
        </w:tc>
      </w:tr>
      <w:tr>
        <w:tc>
          <w:tcPr>
            <w:tcW w:type="dxa" w:w="1361"/>
          </w:tcPr>
          <w:p>
            <w:r/>
            <w:r>
              <w:rPr>
                <w:rFonts w:ascii="Calibri" w:hAnsi="Calibri"/>
                <w:sz w:val="15"/>
              </w:rPr>
              <w:t>AC-B14</w:t>
            </w:r>
          </w:p>
        </w:tc>
        <w:tc>
          <w:tcPr>
            <w:tcW w:type="dxa" w:w="2041"/>
          </w:tcPr>
          <w:p>
            <w:r/>
            <w:r>
              <w:rPr>
                <w:rFonts w:ascii="Calibri" w:hAnsi="Calibri"/>
                <w:sz w:val="15"/>
              </w:rPr>
              <w:t>Partly met</w:t>
            </w:r>
          </w:p>
        </w:tc>
        <w:tc>
          <w:tcPr>
            <w:tcW w:type="dxa" w:w="6236"/>
          </w:tcPr>
          <w:p>
            <w:r/>
            <w:r>
              <w:rPr>
                <w:rFonts w:ascii="Calibri" w:hAnsi="Calibri"/>
                <w:sz w:val="15"/>
              </w:rPr>
              <w:t>Scripts reproduce deployment and demonstration; the full check sequence is manual (F7)</w:t>
            </w:r>
          </w:p>
        </w:tc>
      </w:tr>
    </w:tbl>
    <w:p>
      <w:pPr>
        <w:spacing w:after="40"/>
      </w:pPr>
    </w:p>
    <w:p>
      <w:pPr>
        <w:pStyle w:val="Heading1"/>
      </w:pPr>
      <w:r>
        <w:t>7. Reasoned evaluation</w:t>
      </w:r>
    </w:p>
    <w:p>
      <w:r>
        <w:rPr>
          <w:rFonts w:ascii="Calibri" w:hAnsi="Calibri"/>
          <w:b w:val="0"/>
          <w:i w:val="0"/>
        </w:rPr>
        <w:t>Of the 21 acceptance criteria, 19 are met and 2 are partly met. Every functional criterion that could be executed was executed, and the results are reproducible from the repository scripts. The two partial results are honest limitations rather than open defects: the decision pathways other than P1 were verified by inspecting the models and their conditions instead of running every option, and end-to-end reproducibility depends on a manual check sequence.</w:t>
      </w:r>
    </w:p>
    <w:p>
      <w:r>
        <w:rPr>
          <w:rFonts w:ascii="Calibri" w:hAnsi="Calibri"/>
          <w:b w:val="0"/>
          <w:i w:val="0"/>
        </w:rPr>
        <w:t>The failures found during the work (F1-F4, F8) were all defects in the group's own models or code, and all were corrected and re-tested. The two that remain open (F5, F6) are architectural and environmental: a duplicated worker implementation across projects, and a demonstration-grade database. Neither prevents the system from meeting its functional criteria, but both would have to be resolved before any production use. Reporting them is preferable to leaving them to be discovered.</w:t>
      </w:r>
    </w:p>
    <w:p>
      <w:r>
        <w:rPr>
          <w:rFonts w:ascii="Calibri" w:hAnsi="Calibri"/>
          <w:b w:val="0"/>
          <w:i w:val="0"/>
        </w:rPr>
        <w:t>The most useful outcome of this evaluation is not the pass rate but the evidence chain: each criterion can be followed to a test, and each test to a command, a file or a query that anyone can re-run.</w:t>
      </w:r>
    </w:p>
    <w:sectPr w:rsidR="00FC693F" w:rsidRPr="0006063C" w:rsidSect="00034616">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