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val="0"/>
          <w:i w:val="0"/>
        </w:rPr>
        <w:t>Further Development</w:t>
      </w:r>
    </w:p>
    <w:p>
      <w:pPr>
        <w:pStyle w:val="Heading2"/>
      </w:pPr>
      <w:r>
        <w:rPr>
          <w:rFonts w:ascii="Calibri" w:hAnsi="Calibri"/>
          <w:b w:val="0"/>
          <w:i w:val="0"/>
        </w:rPr>
        <w:t>Improvements to the operational BPMN, external workers, Camunda Forms and their integration</w:t>
      </w:r>
    </w:p>
    <w:p>
      <w:pPr>
        <w:spacing w:after="40"/>
      </w:pPr>
      <w:r>
        <w:rPr>
          <w:rFonts w:ascii="Calibri" w:hAnsi="Calibri"/>
          <w:b w:val="0"/>
          <w:i/>
        </w:rPr>
        <w:t>HPAS referral pathway - Camunda 8 implementation</w:t>
      </w:r>
    </w:p>
    <w:p>
      <w:pPr>
        <w:spacing w:after="160"/>
      </w:pPr>
      <w:r>
        <w:rPr>
          <w:rFonts w:ascii="Calibri" w:hAnsi="Calibri"/>
          <w:b w:val="0"/>
          <w:i/>
        </w:rPr>
        <w:t>Business Process Modelling and Enterprise Architecture - Full Portfolio</w:t>
      </w:r>
    </w:p>
    <w:p>
      <w:pPr>
        <w:spacing w:after="160"/>
      </w:pPr>
      <w:r>
        <w:rPr>
          <w:rFonts w:ascii="Calibri" w:hAnsi="Calibri"/>
          <w:b w:val="0"/>
          <w:i w:val="0"/>
        </w:rPr>
        <w:t>This document answers one question only: what was changed after the first release, and why. It is organised by the four areas named in the brief, not by the review points - the review points are cross-referenced where they apply. Every claim below is backed by a verification result recorded in the companion Acceptance Criteria Evaluation (test identifiers T-n).</w:t>
      </w:r>
    </w:p>
    <w:p>
      <w:pPr>
        <w:pStyle w:val="Heading2"/>
      </w:pPr>
      <w:r>
        <w:t>1. Summary</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87"/>
          </w:tcPr>
          <w:p>
            <w:r/>
            <w:r>
              <w:rPr>
                <w:rFonts w:ascii="Calibri" w:hAnsi="Calibri"/>
                <w:b/>
                <w:sz w:val="17"/>
              </w:rPr>
              <w:t>Area</w:t>
            </w:r>
          </w:p>
        </w:tc>
        <w:tc>
          <w:tcPr>
            <w:tcW w:type="dxa" w:w="4876"/>
          </w:tcPr>
          <w:p>
            <w:r/>
            <w:r>
              <w:rPr>
                <w:rFonts w:ascii="Calibri" w:hAnsi="Calibri"/>
                <w:b/>
                <w:sz w:val="17"/>
              </w:rPr>
              <w:t>Changes</w:t>
            </w:r>
          </w:p>
        </w:tc>
        <w:tc>
          <w:tcPr>
            <w:tcW w:type="dxa" w:w="1928"/>
          </w:tcPr>
          <w:p>
            <w:r/>
            <w:r>
              <w:rPr>
                <w:rFonts w:ascii="Calibri" w:hAnsi="Calibri"/>
                <w:b/>
                <w:sz w:val="17"/>
              </w:rPr>
              <w:t>Main evidence</w:t>
            </w:r>
          </w:p>
        </w:tc>
        <w:tc>
          <w:tcPr>
            <w:tcW w:type="dxa" w:w="1247"/>
          </w:tcPr>
          <w:p>
            <w:r/>
            <w:r>
              <w:rPr>
                <w:rFonts w:ascii="Calibri" w:hAnsi="Calibri"/>
                <w:b/>
                <w:sz w:val="17"/>
              </w:rPr>
              <w:t>Review point</w:t>
            </w:r>
          </w:p>
        </w:tc>
      </w:tr>
      <w:tr>
        <w:tc>
          <w:tcPr>
            <w:tcW w:type="dxa" w:w="1587"/>
          </w:tcPr>
          <w:p>
            <w:r/>
            <w:r>
              <w:rPr>
                <w:rFonts w:ascii="Calibri" w:hAnsi="Calibri"/>
                <w:sz w:val="17"/>
              </w:rPr>
              <w:t>Operational BPMN</w:t>
            </w:r>
          </w:p>
        </w:tc>
        <w:tc>
          <w:tcPr>
            <w:tcW w:type="dxa" w:w="4876"/>
          </w:tcPr>
          <w:p>
            <w:r/>
            <w:r>
              <w:rPr>
                <w:rFonts w:ascii="Calibri" w:hAnsi="Calibri"/>
                <w:sz w:val="17"/>
              </w:rPr>
              <w:t>4 explicit merging gateways; 7 decision conditions hardened; 1 date comparison made type-safe; 3 user tasks given candidate groups; 1 group name unified; 9 models fully translated</w:t>
            </w:r>
          </w:p>
        </w:tc>
        <w:tc>
          <w:tcPr>
            <w:tcW w:type="dxa" w:w="1928"/>
          </w:tcPr>
          <w:p>
            <w:r/>
            <w:r>
              <w:rPr>
                <w:rFonts w:ascii="Calibri" w:hAnsi="Calibri"/>
                <w:sz w:val="17"/>
              </w:rPr>
              <w:t>T2 (structure), T3 (language), T11 (roles)</w:t>
            </w:r>
          </w:p>
        </w:tc>
        <w:tc>
          <w:tcPr>
            <w:tcW w:type="dxa" w:w="1247"/>
          </w:tcPr>
          <w:p>
            <w:r/>
            <w:r>
              <w:rPr>
                <w:rFonts w:ascii="Calibri" w:hAnsi="Calibri"/>
                <w:sz w:val="17"/>
              </w:rPr>
              <w:t>1, 2, 5</w:t>
            </w:r>
          </w:p>
        </w:tc>
      </w:tr>
      <w:tr>
        <w:tc>
          <w:tcPr>
            <w:tcW w:type="dxa" w:w="1587"/>
          </w:tcPr>
          <w:p>
            <w:r/>
            <w:r>
              <w:rPr>
                <w:rFonts w:ascii="Calibri" w:hAnsi="Calibri"/>
                <w:sz w:val="17"/>
              </w:rPr>
              <w:t>Camunda Forms</w:t>
            </w:r>
          </w:p>
        </w:tc>
        <w:tc>
          <w:tcPr>
            <w:tcW w:type="dxa" w:w="4876"/>
          </w:tcPr>
          <w:p>
            <w:r/>
            <w:r>
              <w:rPr>
                <w:rFonts w:ascii="Calibri" w:hAnsi="Calibri"/>
                <w:sz w:val="17"/>
              </w:rPr>
              <w:t>37 forms validated: 131 fields with rules, 99 required, 19 patterns, 123 length limits; 11 fields retyped; 3 fields deliberately left optional; 1 label corrected</w:t>
            </w:r>
          </w:p>
        </w:tc>
        <w:tc>
          <w:tcPr>
            <w:tcW w:type="dxa" w:w="1928"/>
          </w:tcPr>
          <w:p>
            <w:r/>
            <w:r>
              <w:rPr>
                <w:rFonts w:ascii="Calibri" w:hAnsi="Calibri"/>
                <w:sz w:val="17"/>
              </w:rPr>
              <w:t>T4 (coverage), T5 (safety)</w:t>
            </w:r>
          </w:p>
        </w:tc>
        <w:tc>
          <w:tcPr>
            <w:tcW w:type="dxa" w:w="1247"/>
          </w:tcPr>
          <w:p>
            <w:r/>
            <w:r>
              <w:rPr>
                <w:rFonts w:ascii="Calibri" w:hAnsi="Calibri"/>
                <w:sz w:val="17"/>
              </w:rPr>
              <w:t>3</w:t>
            </w:r>
          </w:p>
        </w:tc>
      </w:tr>
      <w:tr>
        <w:tc>
          <w:tcPr>
            <w:tcW w:type="dxa" w:w="1587"/>
          </w:tcPr>
          <w:p>
            <w:r/>
            <w:r>
              <w:rPr>
                <w:rFonts w:ascii="Calibri" w:hAnsi="Calibri"/>
                <w:sz w:val="17"/>
              </w:rPr>
              <w:t>External workers</w:t>
            </w:r>
          </w:p>
        </w:tc>
        <w:tc>
          <w:tcPr>
            <w:tcW w:type="dxa" w:w="4876"/>
          </w:tcPr>
          <w:p>
            <w:r/>
            <w:r>
              <w:rPr>
                <w:rFonts w:ascii="Calibri" w:hAnsi="Calibri"/>
                <w:sz w:val="17"/>
              </w:rPr>
              <w:t>31 job workers wired to a persistence layer; date parsing made tolerant in two places; 43 output strings translated; 8 English urgent keywords added; a missing Spring Boot module added</w:t>
            </w:r>
          </w:p>
        </w:tc>
        <w:tc>
          <w:tcPr>
            <w:tcW w:type="dxa" w:w="1928"/>
          </w:tcPr>
          <w:p>
            <w:r/>
            <w:r>
              <w:rPr>
                <w:rFonts w:ascii="Calibri" w:hAnsi="Calibri"/>
                <w:sz w:val="17"/>
              </w:rPr>
              <w:t>T6 (build), T7 (run), T18 (parsing)</w:t>
            </w:r>
          </w:p>
        </w:tc>
        <w:tc>
          <w:tcPr>
            <w:tcW w:type="dxa" w:w="1247"/>
          </w:tcPr>
          <w:p>
            <w:r/>
            <w:r>
              <w:rPr>
                <w:rFonts w:ascii="Calibri" w:hAnsi="Calibri"/>
                <w:sz w:val="17"/>
              </w:rPr>
              <w:t>4</w:t>
            </w:r>
          </w:p>
        </w:tc>
      </w:tr>
      <w:tr>
        <w:tc>
          <w:tcPr>
            <w:tcW w:type="dxa" w:w="1587"/>
          </w:tcPr>
          <w:p>
            <w:r/>
            <w:r>
              <w:rPr>
                <w:rFonts w:ascii="Calibri" w:hAnsi="Calibri"/>
                <w:sz w:val="17"/>
              </w:rPr>
              <w:t>Integration</w:t>
            </w:r>
          </w:p>
        </w:tc>
        <w:tc>
          <w:tcPr>
            <w:tcW w:type="dxa" w:w="4876"/>
          </w:tcPr>
          <w:p>
            <w:r/>
            <w:r>
              <w:rPr>
                <w:rFonts w:ascii="Calibri" w:hAnsi="Calibri"/>
                <w:sz w:val="17"/>
              </w:rPr>
              <w:t>11 relational tables behind a single persistence service; audit row per step; failure isolation; deploy and demonstration scripts; build output excluded from the package</w:t>
            </w:r>
          </w:p>
        </w:tc>
        <w:tc>
          <w:tcPr>
            <w:tcW w:type="dxa" w:w="1928"/>
          </w:tcPr>
          <w:p>
            <w:r/>
            <w:r>
              <w:rPr>
                <w:rFonts w:ascii="Calibri" w:hAnsi="Calibri"/>
                <w:sz w:val="17"/>
              </w:rPr>
              <w:t>T8, T9, T10, T12, T17</w:t>
            </w:r>
          </w:p>
        </w:tc>
        <w:tc>
          <w:tcPr>
            <w:tcW w:type="dxa" w:w="1247"/>
          </w:tcPr>
          <w:p>
            <w:r/>
            <w:r>
              <w:rPr>
                <w:rFonts w:ascii="Calibri" w:hAnsi="Calibri"/>
                <w:sz w:val="17"/>
              </w:rPr>
              <w:t>4</w:t>
            </w:r>
          </w:p>
        </w:tc>
      </w:tr>
    </w:tbl>
    <w:p>
      <w:pPr>
        <w:spacing w:after="40"/>
      </w:pPr>
    </w:p>
    <w:p>
      <w:pPr>
        <w:pStyle w:val="Heading1"/>
      </w:pPr>
      <w:r>
        <w:t>2. Operational BPMN</w:t>
      </w:r>
    </w:p>
    <w:p>
      <w:pPr>
        <w:pStyle w:val="Heading2"/>
      </w:pPr>
      <w:r>
        <w:t>2.1 Explicit merging gateways</w:t>
      </w:r>
    </w:p>
    <w:p>
      <w:r>
        <w:rPr>
          <w:rFonts w:ascii="Calibri" w:hAnsi="Calibri"/>
          <w:b w:val="0"/>
          <w:i w:val="0"/>
        </w:rPr>
        <w:t>Four tasks were reached by two sequence flows - the normal path plus a supplement or retry loop - which in BPMN is an implicit XOR merge. A reader cannot see where the paths join. Each site now has a converging exclusive gateway inside the same lane, registered in the lane's flow-node list and given diagram interchange, so the models remain valid for both Camunda Modeler and deployment.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r/>
            <w:r>
              <w:rPr>
                <w:rFonts w:ascii="Calibri" w:hAnsi="Calibri"/>
                <w:b/>
                <w:sz w:val="17"/>
              </w:rPr>
              <w:t>Model</w:t>
            </w:r>
          </w:p>
        </w:tc>
        <w:tc>
          <w:tcPr>
            <w:tcW w:type="dxa" w:w="2608"/>
          </w:tcPr>
          <w:p>
            <w:r/>
            <w:r>
              <w:rPr>
                <w:rFonts w:ascii="Calibri" w:hAnsi="Calibri"/>
                <w:b/>
                <w:sz w:val="17"/>
              </w:rPr>
              <w:t>New gateway</w:t>
            </w:r>
          </w:p>
        </w:tc>
        <w:tc>
          <w:tcPr>
            <w:tcW w:type="dxa" w:w="2041"/>
          </w:tcPr>
          <w:p>
            <w:r/>
            <w:r>
              <w:rPr>
                <w:rFonts w:ascii="Calibri" w:hAnsi="Calibri"/>
                <w:b/>
                <w:sz w:val="17"/>
              </w:rPr>
              <w:t>Lane</w:t>
            </w:r>
          </w:p>
        </w:tc>
        <w:tc>
          <w:tcPr>
            <w:tcW w:type="dxa" w:w="2268"/>
          </w:tcPr>
          <w:p>
            <w:r/>
            <w:r>
              <w:rPr>
                <w:rFonts w:ascii="Calibri" w:hAnsi="Calibri"/>
                <w:b/>
                <w:sz w:val="17"/>
              </w:rPr>
              <w:t>Joins</w:t>
            </w:r>
          </w:p>
        </w:tc>
        <w:tc>
          <w:tcPr>
            <w:tcW w:type="dxa" w:w="794"/>
          </w:tcPr>
          <w:p>
            <w:r/>
            <w:r>
              <w:rPr>
                <w:rFonts w:ascii="Calibri" w:hAnsi="Calibri"/>
                <w:b/>
                <w:sz w:val="17"/>
              </w:rPr>
              <w:t>Feeds</w:t>
            </w:r>
          </w:p>
        </w:tc>
      </w:tr>
      <w:tr>
        <w:tc>
          <w:tcPr>
            <w:tcW w:type="dxa" w:w="1928"/>
          </w:tcPr>
          <w:p>
            <w:r/>
            <w:r>
              <w:rPr>
                <w:rFonts w:ascii="Calibri" w:hAnsi="Calibri"/>
                <w:sz w:val="17"/>
              </w:rPr>
              <w:t>P1 referral intake</w:t>
            </w:r>
          </w:p>
        </w:tc>
        <w:tc>
          <w:tcPr>
            <w:tcW w:type="dxa" w:w="2608"/>
          </w:tcPr>
          <w:p>
            <w:r/>
            <w:r>
              <w:rPr>
                <w:rFonts w:ascii="Calibri" w:hAnsi="Calibri"/>
                <w:sz w:val="17"/>
              </w:rPr>
              <w:t>Gateway_MergeCompleteness</w:t>
            </w:r>
          </w:p>
        </w:tc>
        <w:tc>
          <w:tcPr>
            <w:tcW w:type="dxa" w:w="2041"/>
          </w:tcPr>
          <w:p>
            <w:r/>
            <w:r>
              <w:rPr>
                <w:rFonts w:ascii="Calibri" w:hAnsi="Calibri"/>
                <w:sz w:val="17"/>
              </w:rPr>
              <w:t>Lane_System</w:t>
            </w:r>
          </w:p>
        </w:tc>
        <w:tc>
          <w:tcPr>
            <w:tcW w:type="dxa" w:w="2268"/>
          </w:tcPr>
          <w:p>
            <w:r/>
            <w:r>
              <w:rPr>
                <w:rFonts w:ascii="Calibri" w:hAnsi="Calibri"/>
                <w:sz w:val="17"/>
              </w:rPr>
              <w:t>registration path + supplement reply</w:t>
            </w:r>
          </w:p>
        </w:tc>
        <w:tc>
          <w:tcPr>
            <w:tcW w:type="dxa" w:w="794"/>
          </w:tcPr>
          <w:p>
            <w:r/>
            <w:r>
              <w:rPr>
                <w:rFonts w:ascii="Calibri" w:hAnsi="Calibri"/>
                <w:sz w:val="17"/>
              </w:rPr>
              <w:t>Task_CompletenessCheck</w:t>
            </w:r>
          </w:p>
        </w:tc>
      </w:tr>
      <w:tr>
        <w:tc>
          <w:tcPr>
            <w:tcW w:type="dxa" w:w="1928"/>
          </w:tcPr>
          <w:p>
            <w:r/>
            <w:r>
              <w:rPr>
                <w:rFonts w:ascii="Calibri" w:hAnsi="Calibri"/>
                <w:sz w:val="17"/>
              </w:rPr>
              <w:t>P2 clinical review</w:t>
            </w:r>
          </w:p>
        </w:tc>
        <w:tc>
          <w:tcPr>
            <w:tcW w:type="dxa" w:w="2608"/>
          </w:tcPr>
          <w:p>
            <w:r/>
            <w:r>
              <w:rPr>
                <w:rFonts w:ascii="Calibri" w:hAnsi="Calibri"/>
                <w:sz w:val="17"/>
              </w:rPr>
              <w:t>Gateway_MergeReview</w:t>
            </w:r>
          </w:p>
        </w:tc>
        <w:tc>
          <w:tcPr>
            <w:tcW w:type="dxa" w:w="2041"/>
          </w:tcPr>
          <w:p>
            <w:r/>
            <w:r>
              <w:rPr>
                <w:rFonts w:ascii="Calibri" w:hAnsi="Calibri"/>
                <w:sz w:val="17"/>
              </w:rPr>
              <w:t>Lane_Consultant</w:t>
            </w:r>
          </w:p>
        </w:tc>
        <w:tc>
          <w:tcPr>
            <w:tcW w:type="dxa" w:w="2268"/>
          </w:tcPr>
          <w:p>
            <w:r/>
            <w:r>
              <w:rPr>
                <w:rFonts w:ascii="Calibri" w:hAnsi="Calibri"/>
                <w:sz w:val="17"/>
              </w:rPr>
              <w:t>start path + re-review after supplement</w:t>
            </w:r>
          </w:p>
        </w:tc>
        <w:tc>
          <w:tcPr>
            <w:tcW w:type="dxa" w:w="794"/>
          </w:tcPr>
          <w:p>
            <w:r/>
            <w:r>
              <w:rPr>
                <w:rFonts w:ascii="Calibri" w:hAnsi="Calibri"/>
                <w:sz w:val="17"/>
              </w:rPr>
              <w:t>Task_ClinicalReview</w:t>
            </w:r>
          </w:p>
        </w:tc>
      </w:tr>
      <w:tr>
        <w:tc>
          <w:tcPr>
            <w:tcW w:type="dxa" w:w="1928"/>
          </w:tcPr>
          <w:p>
            <w:r/>
            <w:r>
              <w:rPr>
                <w:rFonts w:ascii="Calibri" w:hAnsi="Calibri"/>
                <w:sz w:val="17"/>
              </w:rPr>
              <w:t>P3 appointment scheduling</w:t>
            </w:r>
          </w:p>
        </w:tc>
        <w:tc>
          <w:tcPr>
            <w:tcW w:type="dxa" w:w="2608"/>
          </w:tcPr>
          <w:p>
            <w:r/>
            <w:r>
              <w:rPr>
                <w:rFonts w:ascii="Calibri" w:hAnsi="Calibri"/>
                <w:sz w:val="17"/>
              </w:rPr>
              <w:t>Gateway_MergeSchedulingRequest</w:t>
            </w:r>
          </w:p>
        </w:tc>
        <w:tc>
          <w:tcPr>
            <w:tcW w:type="dxa" w:w="2041"/>
          </w:tcPr>
          <w:p>
            <w:r/>
            <w:r>
              <w:rPr>
                <w:rFonts w:ascii="Calibri" w:hAnsi="Calibri"/>
                <w:sz w:val="17"/>
              </w:rPr>
              <w:t>Lane_SchedulingService</w:t>
            </w:r>
          </w:p>
        </w:tc>
        <w:tc>
          <w:tcPr>
            <w:tcW w:type="dxa" w:w="2268"/>
          </w:tcPr>
          <w:p>
            <w:r/>
            <w:r>
              <w:rPr>
                <w:rFonts w:ascii="Calibri" w:hAnsi="Calibri"/>
                <w:sz w:val="17"/>
              </w:rPr>
              <w:t>request path + timer retry</w:t>
            </w:r>
          </w:p>
        </w:tc>
        <w:tc>
          <w:tcPr>
            <w:tcW w:type="dxa" w:w="794"/>
          </w:tcPr>
          <w:p>
            <w:r/>
            <w:r>
              <w:rPr>
                <w:rFonts w:ascii="Calibri" w:hAnsi="Calibri"/>
                <w:sz w:val="17"/>
              </w:rPr>
              <w:t>Throw_SchedulingRequest</w:t>
            </w:r>
          </w:p>
        </w:tc>
      </w:tr>
      <w:tr>
        <w:tc>
          <w:tcPr>
            <w:tcW w:type="dxa" w:w="1928"/>
          </w:tcPr>
          <w:p>
            <w:r/>
            <w:r>
              <w:rPr>
                <w:rFonts w:ascii="Calibri" w:hAnsi="Calibri"/>
                <w:sz w:val="17"/>
              </w:rPr>
              <w:t>P4 patient notification</w:t>
            </w:r>
          </w:p>
        </w:tc>
        <w:tc>
          <w:tcPr>
            <w:tcW w:type="dxa" w:w="2608"/>
          </w:tcPr>
          <w:p>
            <w:r/>
            <w:r>
              <w:rPr>
                <w:rFonts w:ascii="Calibri" w:hAnsi="Calibri"/>
                <w:sz w:val="17"/>
              </w:rPr>
              <w:t>Gateway_MergeSendNotification</w:t>
            </w:r>
          </w:p>
        </w:tc>
        <w:tc>
          <w:tcPr>
            <w:tcW w:type="dxa" w:w="2041"/>
          </w:tcPr>
          <w:p>
            <w:r/>
            <w:r>
              <w:rPr>
                <w:rFonts w:ascii="Calibri" w:hAnsi="Calibri"/>
                <w:sz w:val="17"/>
              </w:rPr>
              <w:t>Lane_CommsService</w:t>
            </w:r>
          </w:p>
        </w:tc>
        <w:tc>
          <w:tcPr>
            <w:tcW w:type="dxa" w:w="2268"/>
          </w:tcPr>
          <w:p>
            <w:r/>
            <w:r>
              <w:rPr>
                <w:rFonts w:ascii="Calibri" w:hAnsi="Calibri"/>
                <w:sz w:val="17"/>
              </w:rPr>
              <w:t>chosen channel + notification retry</w:t>
            </w:r>
          </w:p>
        </w:tc>
        <w:tc>
          <w:tcPr>
            <w:tcW w:type="dxa" w:w="794"/>
          </w:tcPr>
          <w:p>
            <w:r/>
            <w:r>
              <w:rPr>
                <w:rFonts w:ascii="Calibri" w:hAnsi="Calibri"/>
                <w:sz w:val="17"/>
              </w:rPr>
              <w:t>Task_SendNotification</w:t>
            </w:r>
          </w:p>
        </w:tc>
      </w:tr>
    </w:tbl>
    <w:p>
      <w:pPr>
        <w:spacing w:after="40"/>
      </w:pPr>
    </w:p>
    <w:p>
      <w:pPr>
        <w:pStyle w:val="Heading2"/>
      </w:pPr>
      <w:r>
        <w:t>2.2 Decision conditions hardened</w:t>
      </w:r>
    </w:p>
    <w:p>
      <w:r>
        <w:rPr>
          <w:rFonts w:ascii="Calibri" w:hAnsi="Calibri"/>
          <w:b w:val="0"/>
          <w:i w:val="0"/>
        </w:rPr>
        <w:t>Four decision conditions in P2 and three enquiry-type conditions in P8 read a field of a form object (reviewForm.decision, enquiryForm.inquiryType). If that variable was missing, the expression failed at run time and the process raised an incident, so the user's choice produced no outcome at all. All seven conditions now guard the object before reading it. The two-week test in P4 compared a string to a stringified date; it now compares dates: appointmentDate is parsed with date() and compared with today() plus a P14D duration.</w:t>
      </w:r>
    </w:p>
    <w:p>
      <w:r>
        <w:rPr>
          <w:rFonts w:ascii="Calibri" w:hAnsi="Calibri"/>
          <w:b w:val="0"/>
          <w:i/>
        </w:rPr>
        <w:t>Why it matters: the engine default is not to take the default branch, it is to stop. Hardening the conditions means an unexpected value falls through to the documented default outcome instead of blocking the pathway.</w:t>
      </w:r>
    </w:p>
    <w:p>
      <w:pPr>
        <w:pStyle w:val="Heading2"/>
      </w:pPr>
      <w:r>
        <w:t>2.3 Role-based access completed</w:t>
      </w:r>
    </w:p>
    <w:p>
      <w:pPr>
        <w:pStyle w:val="ListBullet"/>
        <w:spacing w:after="40"/>
      </w:pPr>
      <w:r>
        <w:rPr>
          <w:rFonts w:ascii="Calibri" w:hAnsi="Calibri"/>
        </w:rPr>
        <w:t>Task_Ext_Referrer now requires referring-practices; Task_Ext_Patient requires patients; Task_Ext_Funder requires funder-reviewers. These three tasks were previously visible to any user.</w:t>
      </w:r>
    </w:p>
    <w:p>
      <w:pPr>
        <w:pStyle w:val="ListBullet"/>
        <w:spacing w:after="40"/>
      </w:pPr>
      <w:r>
        <w:rPr>
          <w:rFonts w:ascii="Calibri" w:hAnsi="Calibri"/>
        </w:rPr>
        <w:t>The group gp-practices used in P1 was unified to referring-practices, so a GP user needs one group membership rather than two.</w:t>
      </w:r>
    </w:p>
    <w:p>
      <w:pPr>
        <w:pStyle w:val="ListBullet"/>
        <w:spacing w:after="40"/>
      </w:pPr>
      <w:r>
        <w:rPr>
          <w:rFonts w:ascii="Calibri" w:hAnsi="Calibri"/>
        </w:rPr>
        <w:t>Result: eleven role groups, and every user task in all nine models carries candidate groups.</w:t>
      </w:r>
    </w:p>
    <w:p>
      <w:pPr>
        <w:pStyle w:val="Heading2"/>
      </w:pPr>
      <w:r>
        <w:t>2.4 English throughout</w:t>
      </w:r>
    </w:p>
    <w:p>
      <w:r>
        <w:rPr>
          <w:rFonts w:ascii="Calibri" w:hAnsi="Calibri"/>
          <w:b w:val="0"/>
          <w:i w:val="0"/>
        </w:rPr>
        <w:t>Seven of the nine models still contained Chinese - 3,500 characters including full-width punctuation - although the file had been named as translated. All nine are now English: 73 documentation blocks and 9 element names translated, full-width punctuation replaced, arrow notation normalised to ASCII. Element names follow the wording already used by the two models that were in English, so terminology is consistent across the package.</w:t>
      </w:r>
    </w:p>
    <w:p>
      <w:r>
        <w:rPr>
          <w:rFonts w:ascii="Calibri" w:hAnsi="Calibri"/>
          <w:b w:val="0"/>
          <w:i w:val="0"/>
        </w:rPr>
        <w:t>Verification: the structural checker reports 0 Chinese characters in all nine models (T3), and the structure is unchanged - identical element order, identical ids, identical Zeebe attributes and condition texts.</w:t>
      </w:r>
    </w:p>
    <w:p>
      <w:pPr>
        <w:pStyle w:val="Heading1"/>
      </w:pPr>
      <w:r>
        <w:t>3. Camunda Forms</w:t>
      </w:r>
    </w:p>
    <w:p>
      <w:pPr>
        <w:pStyle w:val="Heading2"/>
      </w:pPr>
      <w:r>
        <w:t>3.1 Validation added</w:t>
      </w:r>
    </w:p>
    <w:tbl>
      <w:tblPr>
        <w:tblStyle w:val="TableGrid"/>
        <w:tblW w:type="auto" w:w="0"/>
        <w:jc w:val="center"/>
        <w:tblLook w:firstColumn="1" w:firstRow="1" w:lastColumn="0" w:lastRow="0" w:noHBand="0" w:noVBand="1" w:val="04A0"/>
      </w:tblPr>
      <w:tblGrid>
        <w:gridCol w:w="3213"/>
        <w:gridCol w:w="3213"/>
        <w:gridCol w:w="3213"/>
      </w:tblGrid>
      <w:tr>
        <w:tc>
          <w:tcPr>
            <w:tcW w:type="dxa" w:w="4762"/>
          </w:tcPr>
          <w:p>
            <w:r/>
            <w:r>
              <w:rPr>
                <w:rFonts w:ascii="Calibri" w:hAnsi="Calibri"/>
                <w:b/>
                <w:sz w:val="17"/>
              </w:rPr>
              <w:t>Metric</w:t>
            </w:r>
          </w:p>
        </w:tc>
        <w:tc>
          <w:tcPr>
            <w:tcW w:type="dxa" w:w="1701"/>
          </w:tcPr>
          <w:p>
            <w:r/>
            <w:r>
              <w:rPr>
                <w:rFonts w:ascii="Calibri" w:hAnsi="Calibri"/>
                <w:b/>
                <w:sz w:val="17"/>
              </w:rPr>
              <w:t>Before</w:t>
            </w:r>
          </w:p>
        </w:tc>
        <w:tc>
          <w:tcPr>
            <w:tcW w:type="dxa" w:w="1701"/>
          </w:tcPr>
          <w:p>
            <w:r/>
            <w:r>
              <w:rPr>
                <w:rFonts w:ascii="Calibri" w:hAnsi="Calibri"/>
                <w:b/>
                <w:sz w:val="17"/>
              </w:rPr>
              <w:t>After</w:t>
            </w:r>
          </w:p>
        </w:tc>
      </w:tr>
      <w:tr>
        <w:tc>
          <w:tcPr>
            <w:tcW w:type="dxa" w:w="4762"/>
          </w:tcPr>
          <w:p>
            <w:r/>
            <w:r>
              <w:rPr>
                <w:rFonts w:ascii="Calibri" w:hAnsi="Calibri"/>
                <w:sz w:val="17"/>
              </w:rPr>
              <w:t>Fields carrying validation rules</w:t>
            </w:r>
          </w:p>
        </w:tc>
        <w:tc>
          <w:tcPr>
            <w:tcW w:type="dxa" w:w="1701"/>
          </w:tcPr>
          <w:p>
            <w:r/>
            <w:r>
              <w:rPr>
                <w:rFonts w:ascii="Calibri" w:hAnsi="Calibri"/>
                <w:sz w:val="17"/>
              </w:rPr>
              <w:t>113</w:t>
            </w:r>
          </w:p>
        </w:tc>
        <w:tc>
          <w:tcPr>
            <w:tcW w:type="dxa" w:w="1701"/>
          </w:tcPr>
          <w:p>
            <w:r/>
            <w:r>
              <w:rPr>
                <w:rFonts w:ascii="Calibri" w:hAnsi="Calibri"/>
                <w:sz w:val="17"/>
              </w:rPr>
              <w:t>131</w:t>
            </w:r>
          </w:p>
        </w:tc>
      </w:tr>
      <w:tr>
        <w:tc>
          <w:tcPr>
            <w:tcW w:type="dxa" w:w="4762"/>
          </w:tcPr>
          <w:p>
            <w:r/>
            <w:r>
              <w:rPr>
                <w:rFonts w:ascii="Calibri" w:hAnsi="Calibri"/>
                <w:sz w:val="17"/>
              </w:rPr>
              <w:t>Required fields</w:t>
            </w:r>
          </w:p>
        </w:tc>
        <w:tc>
          <w:tcPr>
            <w:tcW w:type="dxa" w:w="1701"/>
          </w:tcPr>
          <w:p>
            <w:r/>
            <w:r>
              <w:rPr>
                <w:rFonts w:ascii="Calibri" w:hAnsi="Calibri"/>
                <w:sz w:val="17"/>
              </w:rPr>
              <w:t>91</w:t>
            </w:r>
          </w:p>
        </w:tc>
        <w:tc>
          <w:tcPr>
            <w:tcW w:type="dxa" w:w="1701"/>
          </w:tcPr>
          <w:p>
            <w:r/>
            <w:r>
              <w:rPr>
                <w:rFonts w:ascii="Calibri" w:hAnsi="Calibri"/>
                <w:sz w:val="17"/>
              </w:rPr>
              <w:t>99</w:t>
            </w:r>
          </w:p>
        </w:tc>
      </w:tr>
      <w:tr>
        <w:tc>
          <w:tcPr>
            <w:tcW w:type="dxa" w:w="4762"/>
          </w:tcPr>
          <w:p>
            <w:r/>
            <w:r>
              <w:rPr>
                <w:rFonts w:ascii="Calibri" w:hAnsi="Calibri"/>
                <w:sz w:val="17"/>
              </w:rPr>
              <w:t>Pattern constraints</w:t>
            </w:r>
          </w:p>
        </w:tc>
        <w:tc>
          <w:tcPr>
            <w:tcW w:type="dxa" w:w="1701"/>
          </w:tcPr>
          <w:p>
            <w:r/>
            <w:r>
              <w:rPr>
                <w:rFonts w:ascii="Calibri" w:hAnsi="Calibri"/>
                <w:sz w:val="17"/>
              </w:rPr>
              <w:t>2</w:t>
            </w:r>
          </w:p>
        </w:tc>
        <w:tc>
          <w:tcPr>
            <w:tcW w:type="dxa" w:w="1701"/>
          </w:tcPr>
          <w:p>
            <w:r/>
            <w:r>
              <w:rPr>
                <w:rFonts w:ascii="Calibri" w:hAnsi="Calibri"/>
                <w:sz w:val="17"/>
              </w:rPr>
              <w:t>19</w:t>
            </w:r>
          </w:p>
        </w:tc>
      </w:tr>
      <w:tr>
        <w:tc>
          <w:tcPr>
            <w:tcW w:type="dxa" w:w="4762"/>
          </w:tcPr>
          <w:p>
            <w:r/>
            <w:r>
              <w:rPr>
                <w:rFonts w:ascii="Calibri" w:hAnsi="Calibri"/>
                <w:sz w:val="17"/>
              </w:rPr>
              <w:t>Length constraints (minLength / maxLength)</w:t>
            </w:r>
          </w:p>
        </w:tc>
        <w:tc>
          <w:tcPr>
            <w:tcW w:type="dxa" w:w="1701"/>
          </w:tcPr>
          <w:p>
            <w:r/>
            <w:r>
              <w:rPr>
                <w:rFonts w:ascii="Calibri" w:hAnsi="Calibri"/>
                <w:sz w:val="17"/>
              </w:rPr>
              <w:t>0</w:t>
            </w:r>
          </w:p>
        </w:tc>
        <w:tc>
          <w:tcPr>
            <w:tcW w:type="dxa" w:w="1701"/>
          </w:tcPr>
          <w:p>
            <w:r/>
            <w:r>
              <w:rPr>
                <w:rFonts w:ascii="Calibri" w:hAnsi="Calibri"/>
                <w:sz w:val="17"/>
              </w:rPr>
              <w:t>123</w:t>
            </w:r>
          </w:p>
        </w:tc>
      </w:tr>
      <w:tr>
        <w:tc>
          <w:tcPr>
            <w:tcW w:type="dxa" w:w="4762"/>
          </w:tcPr>
          <w:p>
            <w:r/>
            <w:r>
              <w:rPr>
                <w:rFonts w:ascii="Calibri" w:hAnsi="Calibri"/>
                <w:sz w:val="17"/>
              </w:rPr>
              <w:t>number fields</w:t>
            </w:r>
          </w:p>
        </w:tc>
        <w:tc>
          <w:tcPr>
            <w:tcW w:type="dxa" w:w="1701"/>
          </w:tcPr>
          <w:p>
            <w:r/>
            <w:r>
              <w:rPr>
                <w:rFonts w:ascii="Calibri" w:hAnsi="Calibri"/>
                <w:sz w:val="17"/>
              </w:rPr>
              <w:t>0</w:t>
            </w:r>
          </w:p>
        </w:tc>
        <w:tc>
          <w:tcPr>
            <w:tcW w:type="dxa" w:w="1701"/>
          </w:tcPr>
          <w:p>
            <w:r/>
            <w:r>
              <w:rPr>
                <w:rFonts w:ascii="Calibri" w:hAnsi="Calibri"/>
                <w:sz w:val="17"/>
              </w:rPr>
              <w:t>6</w:t>
            </w:r>
          </w:p>
        </w:tc>
      </w:tr>
      <w:tr>
        <w:tc>
          <w:tcPr>
            <w:tcW w:type="dxa" w:w="4762"/>
          </w:tcPr>
          <w:p>
            <w:r/>
            <w:r>
              <w:rPr>
                <w:rFonts w:ascii="Calibri" w:hAnsi="Calibri"/>
                <w:sz w:val="17"/>
              </w:rPr>
              <w:t>datetime fields</w:t>
            </w:r>
          </w:p>
        </w:tc>
        <w:tc>
          <w:tcPr>
            <w:tcW w:type="dxa" w:w="1701"/>
          </w:tcPr>
          <w:p>
            <w:r/>
            <w:r>
              <w:rPr>
                <w:rFonts w:ascii="Calibri" w:hAnsi="Calibri"/>
                <w:sz w:val="17"/>
              </w:rPr>
              <w:t>0</w:t>
            </w:r>
          </w:p>
        </w:tc>
        <w:tc>
          <w:tcPr>
            <w:tcW w:type="dxa" w:w="1701"/>
          </w:tcPr>
          <w:p>
            <w:r/>
            <w:r>
              <w:rPr>
                <w:rFonts w:ascii="Calibri" w:hAnsi="Calibri"/>
                <w:sz w:val="17"/>
              </w:rPr>
              <w:t>5</w:t>
            </w:r>
          </w:p>
        </w:tc>
      </w:tr>
    </w:tbl>
    <w:p>
      <w:pPr>
        <w:spacing w:after="40"/>
      </w:pPr>
    </w:p>
    <w:p>
      <w:r>
        <w:rPr>
          <w:rFonts w:ascii="Calibri" w:hAnsi="Calibri"/>
          <w:b w:val="0"/>
          <w:i w:val="0"/>
        </w:rPr>
        <w:t>Identifiers use a restricted character set; telephone numbers use a permissive but bounded pattern; money fields accept 0 to 1,000,000 with a step; date fields use the date subtype so the emitted value stays YYYY-MM-DD, which keeps the existing date comparisons and worker parsing valid. The datetime subtype was used where a time matters, for example the letter draft completion time.</w:t>
      </w:r>
    </w:p>
    <w:p>
      <w:pPr>
        <w:pStyle w:val="Heading2"/>
      </w:pPr>
      <w:r>
        <w:t>3.2 Deliberate opt-outs</w:t>
      </w:r>
    </w:p>
    <w:p>
      <w:r>
        <w:rPr>
          <w:rFonts w:ascii="Calibri" w:hAnsi="Calibri"/>
          <w:b w:val="0"/>
          <w:i w:val="0"/>
        </w:rPr>
        <w:t>Three fields were left optional on purpose. Making them required would have inverted the business logic:</w:t>
      </w:r>
    </w:p>
    <w:p>
      <w:pPr>
        <w:pStyle w:val="ListBullet"/>
        <w:spacing w:after="40"/>
      </w:pPr>
      <w:r>
        <w:rPr>
          <w:rFonts w:ascii="Calibri" w:hAnsi="Calibri"/>
        </w:rPr>
        <w:t>registerForm.missingMaterials - a blank value means "nothing is missing"; the completeness worker derives isComplete from it, so requiring it would send complete referrals down the supplement path.</w:t>
      </w:r>
    </w:p>
    <w:p>
      <w:pPr>
        <w:pStyle w:val="ListBullet"/>
        <w:spacing w:after="40"/>
      </w:pPr>
      <w:r>
        <w:rPr>
          <w:rFonts w:ascii="Calibri" w:hAnsi="Calibri"/>
        </w:rPr>
        <w:t>enquiryForm.urgentKeywords - a blank value means "no urgent indicators"; requiring it would fabricate a triage signal.</w:t>
      </w:r>
    </w:p>
    <w:p>
      <w:pPr>
        <w:pStyle w:val="ListBullet"/>
        <w:spacing w:after="40"/>
      </w:pPr>
      <w:r>
        <w:rPr>
          <w:rFonts w:ascii="Calibri" w:hAnsi="Calibri"/>
        </w:rPr>
        <w:t>The approval amounts in P7 - absent when funding is declined, so a required field would block the decline path.</w:t>
      </w:r>
    </w:p>
    <w:p>
      <w:r>
        <w:rPr>
          <w:rFonts w:ascii="Calibri" w:hAnsi="Calibri"/>
          <w:b w:val="0"/>
          <w:i w:val="0"/>
        </w:rPr>
        <w:t>Change safety: field keys, option values and component ids are identical to the original package (T5), so no formula, condition or worker variable was affected.</w:t>
      </w:r>
    </w:p>
    <w:p>
      <w:pPr>
        <w:pStyle w:val="Heading2"/>
      </w:pPr>
      <w:r>
        <w:t>3.3 Corrections</w:t>
      </w:r>
    </w:p>
    <w:p>
      <w:r>
        <w:rPr>
          <w:rFonts w:ascii="Calibri" w:hAnsi="Calibri"/>
          <w:b w:val="0"/>
          <w:i w:val="0"/>
        </w:rPr>
        <w:t>One label in p1-transfer-clinical ended with a stray full-width bracket left over from an earlier translation; it was removed and the form still parses.</w:t>
      </w:r>
    </w:p>
    <w:p>
      <w:pPr>
        <w:pStyle w:val="Heading1"/>
      </w:pPr>
      <w:r>
        <w:t>4. External workers</w:t>
      </w:r>
    </w:p>
    <w:p>
      <w:pPr>
        <w:pStyle w:val="Heading2"/>
      </w:pPr>
      <w:r>
        <w:t>4.1 Persistence without changing the contract</w:t>
      </w:r>
    </w:p>
    <w:p>
      <w:r>
        <w:rPr>
          <w:rFonts w:ascii="Calibri" w:hAnsi="Calibri"/>
          <w:b w:val="0"/>
          <w:i w:val="0"/>
        </w:rPr>
        <w:t>Thirteen worker files covering all 31 job workers were wired to the persistence layer. No job type, topic, input or output variable, and no Zeebe mapping was changed: the workers read the same variables and write the same variables, and additionally persist what they learned and append an audit record. This was deliberate - the models and forms were already accepted, so the change had to be additive.</w:t>
      </w:r>
    </w:p>
    <w:p>
      <w:pPr>
        <w:pStyle w:val="Heading2"/>
      </w:pPr>
      <w:r>
        <w:t>4.2 A defect found and fixed</w:t>
      </w:r>
    </w:p>
    <w:p>
      <w:r>
        <w:rPr>
          <w:rFonts w:ascii="Calibri" w:hAnsi="Calibri"/>
          <w:b w:val="0"/>
          <w:i w:val="0"/>
        </w:rPr>
        <w:t>Retyping the letter draft field to a datetime value exposed a latent defect. The P10 letter worker parsed the draft completion time with Instant.parse, which rejects the local date-time a datetime field produces. The exception was caught and the code fell back to the current time - silently. The seven-day dispatch judgement would therefore have been computed from the wrong instant, with no error to warn anyone.</w:t>
      </w:r>
    </w:p>
    <w:p>
      <w:r>
        <w:rPr>
          <w:rFonts w:ascii="Calibri" w:hAnsi="Calibri"/>
          <w:b w:val="0"/>
          <w:i w:val="0"/>
        </w:rPr>
        <w:t>Fix: the parser now tries Instant, then OffsetDateTime, then LocalDateTime in the system zone before falling back. The shared date helper used by other workers gained the same local date-time branch.</w:t>
      </w:r>
    </w:p>
    <w:p>
      <w:r>
        <w:rPr>
          <w:rFonts w:ascii="Calibri" w:hAnsi="Calibri"/>
          <w:b w:val="0"/>
          <w:i/>
        </w:rPr>
        <w:t>This is the kind of failure that only appears at the integration boundary between a form's output format and a worker's parser, which is why the form type changes and the worker parsing were reviewed together.</w:t>
      </w:r>
    </w:p>
    <w:p>
      <w:pPr>
        <w:pStyle w:val="Heading2"/>
      </w:pPr>
      <w:r>
        <w:t>4.3 Output text translated</w:t>
      </w:r>
    </w:p>
    <w:p>
      <w:r>
        <w:rPr>
          <w:rFonts w:ascii="Calibri" w:hAnsi="Calibri"/>
          <w:b w:val="0"/>
          <w:i w:val="0"/>
        </w:rPr>
        <w:t>43 worker-produced strings were translated to English: log messages, triage notes, failure reasons, validation notes and audit detail. These strings are written to the database and appear during a demonstration, so leaving them in Chinese would have made the evidence unreadable to the reviewer. The urgent-indicator keyword list was the one case where translation would have changed behaviour, so the eight Chinese keywords were kept and eight English equivalents appended; detection now works for either language.</w:t>
      </w:r>
    </w:p>
    <w:p>
      <w:pPr>
        <w:pStyle w:val="Heading2"/>
      </w:pPr>
      <w:r>
        <w:t>4.4 Build and runtime fixes</w:t>
      </w:r>
    </w:p>
    <w:p>
      <w:pPr>
        <w:pStyle w:val="ListBullet"/>
        <w:spacing w:after="40"/>
      </w:pPr>
      <w:r>
        <w:rPr>
          <w:rFonts w:ascii="Calibri" w:hAnsi="Calibri"/>
        </w:rPr>
        <w:t>Spring Boot 4 moved the database console into a separate module (spring-boot-h2console), so the console path returned 404 even with the console enabled in configuration. The module was added; the console now responds (T17).</w:t>
      </w:r>
    </w:p>
    <w:p>
      <w:pPr>
        <w:pStyle w:val="ListBullet"/>
        <w:spacing w:after="40"/>
      </w:pPr>
      <w:r>
        <w:rPr>
          <w:rFonts w:ascii="Calibri" w:hAnsi="Calibri"/>
        </w:rPr>
        <w:t>Stale compiled classes in the build directory produced behaviour that contradicted the source during a demonstration. The build output is now excluded from the repository package.</w:t>
      </w:r>
    </w:p>
    <w:p>
      <w:pPr>
        <w:pStyle w:val="Heading1"/>
      </w:pPr>
      <w:r>
        <w:t>5. Integration</w:t>
      </w:r>
    </w:p>
    <w:p>
      <w:pPr>
        <w:pStyle w:val="Heading2"/>
      </w:pPr>
      <w:r>
        <w:t>5.1 What was integrated</w:t>
      </w:r>
    </w:p>
    <w:p>
      <w:r>
        <w:rPr>
          <w:rFonts w:ascii="Calibri" w:hAnsi="Calibri"/>
          <w:b w:val="0"/>
          <w:i w:val="0"/>
        </w:rPr>
        <w:t>Before this release the pieces were separate: nine executable models, 37 forms, 31 workers - and no persistence. The work in this area connects them into one system: process variables flow into workers, workers write to a relational store, and the store is queryable independently of any process instance.</w:t>
      </w:r>
    </w:p>
    <w:tbl>
      <w:tblPr>
        <w:tblStyle w:val="TableGrid"/>
        <w:tblW w:type="auto" w:w="0"/>
        <w:jc w:val="center"/>
        <w:tblLook w:firstColumn="1" w:firstRow="1" w:lastColumn="0" w:lastRow="0" w:noHBand="0" w:noVBand="1" w:val="04A0"/>
      </w:tblPr>
      <w:tblGrid>
        <w:gridCol w:w="4819"/>
        <w:gridCol w:w="4819"/>
      </w:tblGrid>
      <w:tr>
        <w:tc>
          <w:tcPr>
            <w:tcW w:type="dxa" w:w="1587"/>
          </w:tcPr>
          <w:p>
            <w:r/>
            <w:r>
              <w:rPr>
                <w:rFonts w:ascii="Calibri" w:hAnsi="Calibri"/>
                <w:b/>
                <w:sz w:val="17"/>
              </w:rPr>
              <w:t>Layer</w:t>
            </w:r>
          </w:p>
        </w:tc>
        <w:tc>
          <w:tcPr>
            <w:tcW w:type="dxa" w:w="8050"/>
          </w:tcPr>
          <w:p>
            <w:r/>
            <w:r>
              <w:rPr>
                <w:rFonts w:ascii="Calibri" w:hAnsi="Calibri"/>
                <w:b/>
                <w:sz w:val="17"/>
              </w:rPr>
              <w:t>What is there now</w:t>
            </w:r>
          </w:p>
        </w:tc>
      </w:tr>
      <w:tr>
        <w:tc>
          <w:tcPr>
            <w:tcW w:type="dxa" w:w="1587"/>
          </w:tcPr>
          <w:p>
            <w:r/>
            <w:r>
              <w:rPr>
                <w:rFonts w:ascii="Calibri" w:hAnsi="Calibri"/>
                <w:sz w:val="17"/>
              </w:rPr>
              <w:t>Data model</w:t>
            </w:r>
          </w:p>
        </w:tc>
        <w:tc>
          <w:tcPr>
            <w:tcW w:type="dxa" w:w="8050"/>
          </w:tcPr>
          <w:p>
            <w:r/>
            <w:r>
              <w:rPr>
                <w:rFonts w:ascii="Calibri" w:hAnsi="Calibri"/>
                <w:sz w:val="17"/>
              </w:rPr>
              <w:t>11 entities and 11 repositories: referral, patient, appointment, clinical decision, funding case, payment, clinic letter, enquiry, process audit, users, roles</w:t>
            </w:r>
          </w:p>
        </w:tc>
      </w:tr>
      <w:tr>
        <w:tc>
          <w:tcPr>
            <w:tcW w:type="dxa" w:w="1587"/>
          </w:tcPr>
          <w:p>
            <w:r/>
            <w:r>
              <w:rPr>
                <w:rFonts w:ascii="Calibri" w:hAnsi="Calibri"/>
                <w:sz w:val="17"/>
              </w:rPr>
              <w:t>Write path</w:t>
            </w:r>
          </w:p>
        </w:tc>
        <w:tc>
          <w:tcPr>
            <w:tcW w:type="dxa" w:w="8050"/>
          </w:tcPr>
          <w:p>
            <w:r/>
            <w:r>
              <w:rPr>
                <w:rFonts w:ascii="Calibri" w:hAnsi="Calibri"/>
                <w:sz w:val="17"/>
              </w:rPr>
              <w:t>One persistence service with 23 methods - 11 business writes, 2 audit writes, 10 read-only queries - called by 13 worker files</w:t>
            </w:r>
          </w:p>
        </w:tc>
      </w:tr>
      <w:tr>
        <w:tc>
          <w:tcPr>
            <w:tcW w:type="dxa" w:w="1587"/>
          </w:tcPr>
          <w:p>
            <w:r/>
            <w:r>
              <w:rPr>
                <w:rFonts w:ascii="Calibri" w:hAnsi="Calibri"/>
                <w:sz w:val="17"/>
              </w:rPr>
              <w:t>Constraints</w:t>
            </w:r>
          </w:p>
        </w:tc>
        <w:tc>
          <w:tcPr>
            <w:tcW w:type="dxa" w:w="8050"/>
          </w:tcPr>
          <w:p>
            <w:r/>
            <w:r>
              <w:rPr>
                <w:rFonts w:ascii="Calibri" w:hAnsi="Calibri"/>
                <w:sz w:val="17"/>
              </w:rPr>
              <w:t>Business keys are unique (referral id, appointment id, case id, payment reference, idempotency key); the audit table is unique per process instance, job and action, so a retried job does not duplicate its record</w:t>
            </w:r>
          </w:p>
        </w:tc>
      </w:tr>
      <w:tr>
        <w:tc>
          <w:tcPr>
            <w:tcW w:type="dxa" w:w="1587"/>
          </w:tcPr>
          <w:p>
            <w:r/>
            <w:r>
              <w:rPr>
                <w:rFonts w:ascii="Calibri" w:hAnsi="Calibri"/>
                <w:sz w:val="17"/>
              </w:rPr>
              <w:t>Business rule</w:t>
            </w:r>
          </w:p>
        </w:tc>
        <w:tc>
          <w:tcPr>
            <w:tcW w:type="dxa" w:w="8050"/>
          </w:tcPr>
          <w:p>
            <w:r/>
            <w:r>
              <w:rPr>
                <w:rFonts w:ascii="Calibri" w:hAnsi="Calibri"/>
                <w:sz w:val="17"/>
              </w:rPr>
              <w:t>A second successful payment for the same case is refused and reported, so one case cannot be charged twice (T10)</w:t>
            </w:r>
          </w:p>
        </w:tc>
      </w:tr>
      <w:tr>
        <w:tc>
          <w:tcPr>
            <w:tcW w:type="dxa" w:w="1587"/>
          </w:tcPr>
          <w:p>
            <w:r/>
            <w:r>
              <w:rPr>
                <w:rFonts w:ascii="Calibri" w:hAnsi="Calibri"/>
                <w:sz w:val="17"/>
              </w:rPr>
              <w:t>Failure isolation</w:t>
            </w:r>
          </w:p>
        </w:tc>
        <w:tc>
          <w:tcPr>
            <w:tcW w:type="dxa" w:w="8050"/>
          </w:tcPr>
          <w:p>
            <w:r/>
            <w:r>
              <w:rPr>
                <w:rFonts w:ascii="Calibri" w:hAnsi="Calibri"/>
                <w:sz w:val="17"/>
              </w:rPr>
              <w:t>Every write is wrapped: a database failure is logged and never turns into a process incident</w:t>
            </w:r>
          </w:p>
        </w:tc>
      </w:tr>
      <w:tr>
        <w:tc>
          <w:tcPr>
            <w:tcW w:type="dxa" w:w="1587"/>
          </w:tcPr>
          <w:p>
            <w:r/>
            <w:r>
              <w:rPr>
                <w:rFonts w:ascii="Calibri" w:hAnsi="Calibri"/>
                <w:sz w:val="17"/>
              </w:rPr>
              <w:t>Store</w:t>
            </w:r>
          </w:p>
        </w:tc>
        <w:tc>
          <w:tcPr>
            <w:tcW w:type="dxa" w:w="8050"/>
          </w:tcPr>
          <w:p>
            <w:r/>
            <w:r>
              <w:rPr>
                <w:rFonts w:ascii="Calibri" w:hAnsi="Calibri"/>
                <w:sz w:val="17"/>
              </w:rPr>
              <w:t>File-based H2 in the application directory; schema created automatically; role data seeded on first start</w:t>
            </w:r>
          </w:p>
        </w:tc>
      </w:tr>
      <w:tr>
        <w:tc>
          <w:tcPr>
            <w:tcW w:type="dxa" w:w="1587"/>
          </w:tcPr>
          <w:p>
            <w:r/>
            <w:r>
              <w:rPr>
                <w:rFonts w:ascii="Calibri" w:hAnsi="Calibri"/>
                <w:sz w:val="17"/>
              </w:rPr>
              <w:t>Demonstration</w:t>
            </w:r>
          </w:p>
        </w:tc>
        <w:tc>
          <w:tcPr>
            <w:tcW w:type="dxa" w:w="8050"/>
          </w:tcPr>
          <w:p>
            <w:r/>
            <w:r>
              <w:rPr>
                <w:rFonts w:ascii="Calibri" w:hAnsi="Calibri"/>
                <w:sz w:val="17"/>
              </w:rPr>
              <w:t>13 read-only endpoints, the database console, and 14 documented SQL statements (T12)</w:t>
            </w:r>
          </w:p>
        </w:tc>
      </w:tr>
    </w:tbl>
    <w:p>
      <w:pPr>
        <w:spacing w:after="40"/>
      </w:pPr>
    </w:p>
    <w:p>
      <w:pPr>
        <w:pStyle w:val="Heading2"/>
      </w:pPr>
      <w:r>
        <w:t>5.2 Tooling added</w:t>
      </w:r>
    </w:p>
    <w:p>
      <w:r>
        <w:rPr>
          <w:rFonts w:ascii="Calibri" w:hAnsi="Calibri"/>
          <w:b w:val="0"/>
          <w:i w:val="0"/>
        </w:rPr>
        <w:t>The package originally had no deployment script, so a reviewer would have had to deploy nine models and 37 forms one at a time. Two scripts were added:</w:t>
      </w:r>
    </w:p>
    <w:p>
      <w:pPr>
        <w:pStyle w:val="ListBullet"/>
        <w:spacing w:after="40"/>
      </w:pPr>
      <w:r>
        <w:rPr>
          <w:rFonts w:ascii="Calibri" w:hAnsi="Calibri"/>
        </w:rPr>
        <w:t>deploy-package.py - deploys every model and form in one call; skips files with no executable process; prints the resulting process definition versions (T1: 15 definitions and 37 form versions).</w:t>
      </w:r>
    </w:p>
    <w:p>
      <w:pPr>
        <w:pStyle w:val="ListBullet"/>
        <w:spacing w:after="40"/>
      </w:pPr>
      <w:r>
        <w:rPr>
          <w:rFonts w:ascii="Calibri" w:hAnsi="Calibri"/>
        </w:rPr>
        <w:t>demo.py - starts a referral, completes its human tasks, and prints the evidence: task visibility by role, instance state, incident count, before/after row counts, the persisted row and its audit trail.</w:t>
      </w:r>
    </w:p>
    <w:p>
      <w:r>
        <w:rPr>
          <w:rFonts w:ascii="Calibri" w:hAnsi="Calibri"/>
          <w:b w:val="0"/>
          <w:i w:val="0"/>
        </w:rPr>
        <w:t>Packaging: the repository now identifies an initial and a revised version, and excludes build output so the compiled classes cannot contradict the sources.</w:t>
      </w:r>
    </w:p>
    <w:p>
      <w:pPr>
        <w:pStyle w:val="Heading1"/>
      </w:pPr>
      <w:r>
        <w:t>6. Verification of this further development</w:t>
      </w:r>
    </w:p>
    <w:tbl>
      <w:tblPr>
        <w:tblStyle w:val="TableGrid"/>
        <w:tblW w:type="auto" w:w="0"/>
        <w:jc w:val="center"/>
        <w:tblLook w:firstColumn="1" w:firstRow="1" w:lastColumn="0" w:lastRow="0" w:noHBand="0" w:noVBand="1" w:val="04A0"/>
      </w:tblPr>
      <w:tblGrid>
        <w:gridCol w:w="3213"/>
        <w:gridCol w:w="3213"/>
        <w:gridCol w:w="3213"/>
      </w:tblGrid>
      <w:tr>
        <w:tc>
          <w:tcPr>
            <w:tcW w:type="dxa" w:w="3175"/>
          </w:tcPr>
          <w:p>
            <w:r/>
            <w:r>
              <w:rPr>
                <w:rFonts w:ascii="Calibri" w:hAnsi="Calibri"/>
                <w:b/>
                <w:sz w:val="17"/>
              </w:rPr>
              <w:t>Check</w:t>
            </w:r>
          </w:p>
        </w:tc>
        <w:tc>
          <w:tcPr>
            <w:tcW w:type="dxa" w:w="3061"/>
          </w:tcPr>
          <w:p>
            <w:r/>
            <w:r>
              <w:rPr>
                <w:rFonts w:ascii="Calibri" w:hAnsi="Calibri"/>
                <w:b/>
                <w:sz w:val="17"/>
              </w:rPr>
              <w:t>Tool</w:t>
            </w:r>
          </w:p>
        </w:tc>
        <w:tc>
          <w:tcPr>
            <w:tcW w:type="dxa" w:w="3402"/>
          </w:tcPr>
          <w:p>
            <w:r/>
            <w:r>
              <w:rPr>
                <w:rFonts w:ascii="Calibri" w:hAnsi="Calibri"/>
                <w:b/>
                <w:sz w:val="17"/>
              </w:rPr>
              <w:t>Result</w:t>
            </w:r>
          </w:p>
        </w:tc>
      </w:tr>
      <w:tr>
        <w:tc>
          <w:tcPr>
            <w:tcW w:type="dxa" w:w="3175"/>
          </w:tcPr>
          <w:p>
            <w:r/>
            <w:r>
              <w:rPr>
                <w:rFonts w:ascii="Calibri" w:hAnsi="Calibri"/>
                <w:sz w:val="17"/>
              </w:rPr>
              <w:t>BPMN structure and implicit merges</w:t>
            </w:r>
          </w:p>
        </w:tc>
        <w:tc>
          <w:tcPr>
            <w:tcW w:type="dxa" w:w="3061"/>
          </w:tcPr>
          <w:p>
            <w:r/>
            <w:r>
              <w:rPr>
                <w:rFonts w:ascii="Calibri" w:hAnsi="Calibri"/>
                <w:sz w:val="17"/>
              </w:rPr>
              <w:t>Structural checker</w:t>
            </w:r>
          </w:p>
        </w:tc>
        <w:tc>
          <w:tcPr>
            <w:tcW w:type="dxa" w:w="3402"/>
          </w:tcPr>
          <w:p>
            <w:r/>
            <w:r>
              <w:rPr>
                <w:rFonts w:ascii="Calibri" w:hAnsi="Calibri"/>
                <w:sz w:val="17"/>
              </w:rPr>
              <w:t>9/9 models, all counters 0 (T2)</w:t>
            </w:r>
          </w:p>
        </w:tc>
      </w:tr>
      <w:tr>
        <w:tc>
          <w:tcPr>
            <w:tcW w:type="dxa" w:w="3175"/>
          </w:tcPr>
          <w:p>
            <w:r/>
            <w:r>
              <w:rPr>
                <w:rFonts w:ascii="Calibri" w:hAnsi="Calibri"/>
                <w:sz w:val="17"/>
              </w:rPr>
              <w:t>BPMN language</w:t>
            </w:r>
          </w:p>
        </w:tc>
        <w:tc>
          <w:tcPr>
            <w:tcW w:type="dxa" w:w="3061"/>
          </w:tcPr>
          <w:p>
            <w:r/>
            <w:r>
              <w:rPr>
                <w:rFonts w:ascii="Calibri" w:hAnsi="Calibri"/>
                <w:sz w:val="17"/>
              </w:rPr>
              <w:t>Same checker</w:t>
            </w:r>
          </w:p>
        </w:tc>
        <w:tc>
          <w:tcPr>
            <w:tcW w:type="dxa" w:w="3402"/>
          </w:tcPr>
          <w:p>
            <w:r/>
            <w:r>
              <w:rPr>
                <w:rFonts w:ascii="Calibri" w:hAnsi="Calibri"/>
                <w:sz w:val="17"/>
              </w:rPr>
              <w:t>0 Chinese characters in 9 models (T3)</w:t>
            </w:r>
          </w:p>
        </w:tc>
      </w:tr>
      <w:tr>
        <w:tc>
          <w:tcPr>
            <w:tcW w:type="dxa" w:w="3175"/>
          </w:tcPr>
          <w:p>
            <w:r/>
            <w:r>
              <w:rPr>
                <w:rFonts w:ascii="Calibri" w:hAnsi="Calibri"/>
                <w:sz w:val="17"/>
              </w:rPr>
              <w:t>Form validation coverage</w:t>
            </w:r>
          </w:p>
        </w:tc>
        <w:tc>
          <w:tcPr>
            <w:tcW w:type="dxa" w:w="3061"/>
          </w:tcPr>
          <w:p>
            <w:r/>
            <w:r>
              <w:rPr>
                <w:rFonts w:ascii="Calibri" w:hAnsi="Calibri"/>
                <w:sz w:val="17"/>
              </w:rPr>
              <w:t>Statistics</w:t>
            </w:r>
          </w:p>
        </w:tc>
        <w:tc>
          <w:tcPr>
            <w:tcW w:type="dxa" w:w="3402"/>
          </w:tcPr>
          <w:p>
            <w:r/>
            <w:r>
              <w:rPr>
                <w:rFonts w:ascii="Calibri" w:hAnsi="Calibri"/>
                <w:sz w:val="17"/>
              </w:rPr>
              <w:t>131 fields, 99 required, 19 patterns, 123 length limits (T4)</w:t>
            </w:r>
          </w:p>
        </w:tc>
      </w:tr>
      <w:tr>
        <w:tc>
          <w:tcPr>
            <w:tcW w:type="dxa" w:w="3175"/>
          </w:tcPr>
          <w:p>
            <w:r/>
            <w:r>
              <w:rPr>
                <w:rFonts w:ascii="Calibri" w:hAnsi="Calibri"/>
                <w:sz w:val="17"/>
              </w:rPr>
              <w:t>Form change safety</w:t>
            </w:r>
          </w:p>
        </w:tc>
        <w:tc>
          <w:tcPr>
            <w:tcW w:type="dxa" w:w="3061"/>
          </w:tcPr>
          <w:p>
            <w:r/>
            <w:r>
              <w:rPr>
                <w:rFonts w:ascii="Calibri" w:hAnsi="Calibri"/>
                <w:sz w:val="17"/>
              </w:rPr>
              <w:t>Comparison against the original package</w:t>
            </w:r>
          </w:p>
        </w:tc>
        <w:tc>
          <w:tcPr>
            <w:tcW w:type="dxa" w:w="3402"/>
          </w:tcPr>
          <w:p>
            <w:r/>
            <w:r>
              <w:rPr>
                <w:rFonts w:ascii="Calibri" w:hAnsi="Calibri"/>
                <w:sz w:val="17"/>
              </w:rPr>
              <w:t>Keys, option values and ids identical (T5)</w:t>
            </w:r>
          </w:p>
        </w:tc>
      </w:tr>
      <w:tr>
        <w:tc>
          <w:tcPr>
            <w:tcW w:type="dxa" w:w="3175"/>
          </w:tcPr>
          <w:p>
            <w:r/>
            <w:r>
              <w:rPr>
                <w:rFonts w:ascii="Calibri" w:hAnsi="Calibri"/>
                <w:sz w:val="17"/>
              </w:rPr>
              <w:t>Worker compilation</w:t>
            </w:r>
          </w:p>
        </w:tc>
        <w:tc>
          <w:tcPr>
            <w:tcW w:type="dxa" w:w="3061"/>
          </w:tcPr>
          <w:p>
            <w:r/>
            <w:r>
              <w:rPr>
                <w:rFonts w:ascii="Calibri" w:hAnsi="Calibri"/>
                <w:sz w:val="17"/>
              </w:rPr>
              <w:t>mvn offline build</w:t>
            </w:r>
          </w:p>
        </w:tc>
        <w:tc>
          <w:tcPr>
            <w:tcW w:type="dxa" w:w="3402"/>
          </w:tcPr>
          <w:p>
            <w:r/>
            <w:r>
              <w:rPr>
                <w:rFonts w:ascii="Calibri" w:hAnsi="Calibri"/>
                <w:sz w:val="17"/>
              </w:rPr>
              <w:t>exit 0 for all three projects (T6)</w:t>
            </w:r>
          </w:p>
        </w:tc>
      </w:tr>
      <w:tr>
        <w:tc>
          <w:tcPr>
            <w:tcW w:type="dxa" w:w="3175"/>
          </w:tcPr>
          <w:p>
            <w:r/>
            <w:r>
              <w:rPr>
                <w:rFonts w:ascii="Calibri" w:hAnsi="Calibri"/>
                <w:sz w:val="17"/>
              </w:rPr>
              <w:t>End-to-end referral</w:t>
            </w:r>
          </w:p>
        </w:tc>
        <w:tc>
          <w:tcPr>
            <w:tcW w:type="dxa" w:w="3061"/>
          </w:tcPr>
          <w:p>
            <w:r/>
            <w:r>
              <w:rPr>
                <w:rFonts w:ascii="Calibri" w:hAnsi="Calibri"/>
                <w:sz w:val="17"/>
              </w:rPr>
              <w:t>REST run of P1</w:t>
            </w:r>
          </w:p>
        </w:tc>
        <w:tc>
          <w:tcPr>
            <w:tcW w:type="dxa" w:w="3402"/>
          </w:tcPr>
          <w:p>
            <w:r/>
            <w:r>
              <w:rPr>
                <w:rFonts w:ascii="Calibri" w:hAnsi="Calibri"/>
                <w:sz w:val="17"/>
              </w:rPr>
              <w:t>COMPLETED, 0 incidents, tasks completed (T7)</w:t>
            </w:r>
          </w:p>
        </w:tc>
      </w:tr>
      <w:tr>
        <w:tc>
          <w:tcPr>
            <w:tcW w:type="dxa" w:w="3175"/>
          </w:tcPr>
          <w:p>
            <w:r/>
            <w:r>
              <w:rPr>
                <w:rFonts w:ascii="Calibri" w:hAnsi="Calibri"/>
                <w:sz w:val="17"/>
              </w:rPr>
              <w:t>Persistence and restart</w:t>
            </w:r>
          </w:p>
        </w:tc>
        <w:tc>
          <w:tcPr>
            <w:tcW w:type="dxa" w:w="3061"/>
          </w:tcPr>
          <w:p>
            <w:r/>
            <w:r>
              <w:rPr>
                <w:rFonts w:ascii="Calibri" w:hAnsi="Calibri"/>
                <w:sz w:val="17"/>
              </w:rPr>
              <w:t>Query before/after restart</w:t>
            </w:r>
          </w:p>
        </w:tc>
        <w:tc>
          <w:tcPr>
            <w:tcW w:type="dxa" w:w="3402"/>
          </w:tcPr>
          <w:p>
            <w:r/>
            <w:r>
              <w:rPr>
                <w:rFonts w:ascii="Calibri" w:hAnsi="Calibri"/>
                <w:sz w:val="17"/>
              </w:rPr>
              <w:t>Identical rows (T8, T9)</w:t>
            </w:r>
          </w:p>
        </w:tc>
      </w:tr>
      <w:tr>
        <w:tc>
          <w:tcPr>
            <w:tcW w:type="dxa" w:w="3175"/>
          </w:tcPr>
          <w:p>
            <w:r/>
            <w:r>
              <w:rPr>
                <w:rFonts w:ascii="Calibri" w:hAnsi="Calibri"/>
                <w:sz w:val="17"/>
              </w:rPr>
              <w:t>Duplicate payment</w:t>
            </w:r>
          </w:p>
        </w:tc>
        <w:tc>
          <w:tcPr>
            <w:tcW w:type="dxa" w:w="3061"/>
          </w:tcPr>
          <w:p>
            <w:r/>
            <w:r>
              <w:rPr>
                <w:rFonts w:ascii="Calibri" w:hAnsi="Calibri"/>
                <w:sz w:val="17"/>
              </w:rPr>
              <w:t>Second successful payment, same case</w:t>
            </w:r>
          </w:p>
        </w:tc>
        <w:tc>
          <w:tcPr>
            <w:tcW w:type="dxa" w:w="3402"/>
          </w:tcPr>
          <w:p>
            <w:r/>
            <w:r>
              <w:rPr>
                <w:rFonts w:ascii="Calibri" w:hAnsi="Calibri"/>
                <w:sz w:val="17"/>
              </w:rPr>
              <w:t>Refused, table stayed at one row (T10)</w:t>
            </w:r>
          </w:p>
        </w:tc>
      </w:tr>
      <w:tr>
        <w:tc>
          <w:tcPr>
            <w:tcW w:type="dxa" w:w="3175"/>
          </w:tcPr>
          <w:p>
            <w:r/>
            <w:r>
              <w:rPr>
                <w:rFonts w:ascii="Calibri" w:hAnsi="Calibri"/>
                <w:sz w:val="17"/>
              </w:rPr>
              <w:t>Role visibility</w:t>
            </w:r>
          </w:p>
        </w:tc>
        <w:tc>
          <w:tcPr>
            <w:tcW w:type="dxa" w:w="3061"/>
          </w:tcPr>
          <w:p>
            <w:r/>
            <w:r>
              <w:rPr>
                <w:rFonts w:ascii="Calibri" w:hAnsi="Calibri"/>
                <w:sz w:val="17"/>
              </w:rPr>
              <w:t>Task query per group</w:t>
            </w:r>
          </w:p>
        </w:tc>
        <w:tc>
          <w:tcPr>
            <w:tcW w:type="dxa" w:w="3402"/>
          </w:tcPr>
          <w:p>
            <w:r/>
            <w:r>
              <w:rPr>
                <w:rFonts w:ascii="Calibri" w:hAnsi="Calibri"/>
                <w:sz w:val="17"/>
              </w:rPr>
              <w:t>Only the owning group sees the task (T11)</w:t>
            </w:r>
          </w:p>
        </w:tc>
      </w:tr>
      <w:tr>
        <w:tc>
          <w:tcPr>
            <w:tcW w:type="dxa" w:w="3175"/>
          </w:tcPr>
          <w:p>
            <w:r/>
            <w:r>
              <w:rPr>
                <w:rFonts w:ascii="Calibri" w:hAnsi="Calibri"/>
                <w:sz w:val="17"/>
              </w:rPr>
              <w:t>Database console</w:t>
            </w:r>
          </w:p>
        </w:tc>
        <w:tc>
          <w:tcPr>
            <w:tcW w:type="dxa" w:w="3061"/>
          </w:tcPr>
          <w:p>
            <w:r/>
            <w:r>
              <w:rPr>
                <w:rFonts w:ascii="Calibri" w:hAnsi="Calibri"/>
                <w:sz w:val="17"/>
              </w:rPr>
              <w:t>HTTP request</w:t>
            </w:r>
          </w:p>
        </w:tc>
        <w:tc>
          <w:tcPr>
            <w:tcW w:type="dxa" w:w="3402"/>
          </w:tcPr>
          <w:p>
            <w:r/>
            <w:r>
              <w:rPr>
                <w:rFonts w:ascii="Calibri" w:hAnsi="Calibri"/>
                <w:sz w:val="17"/>
              </w:rPr>
              <w:t>Console page served (T17)</w:t>
            </w:r>
          </w:p>
        </w:tc>
      </w:tr>
    </w:tbl>
    <w:p>
      <w:pPr>
        <w:spacing w:after="40"/>
      </w:pPr>
    </w:p>
    <w:p>
      <w:pPr>
        <w:pStyle w:val="Heading1"/>
      </w:pPr>
      <w:r>
        <w:t>7. Not covered, and what it would take</w:t>
      </w:r>
    </w:p>
    <w:tbl>
      <w:tblPr>
        <w:tblStyle w:val="TableGrid"/>
        <w:tblW w:type="auto" w:w="0"/>
        <w:jc w:val="center"/>
        <w:tblLook w:firstColumn="1" w:firstRow="1" w:lastColumn="0" w:lastRow="0" w:noHBand="0" w:noVBand="1" w:val="04A0"/>
      </w:tblPr>
      <w:tblGrid>
        <w:gridCol w:w="3213"/>
        <w:gridCol w:w="3213"/>
        <w:gridCol w:w="3213"/>
      </w:tblGrid>
      <w:tr>
        <w:tc>
          <w:tcPr>
            <w:tcW w:type="dxa" w:w="3742"/>
          </w:tcPr>
          <w:p>
            <w:r/>
            <w:r>
              <w:rPr>
                <w:rFonts w:ascii="Calibri" w:hAnsi="Calibri"/>
                <w:b/>
                <w:sz w:val="17"/>
              </w:rPr>
              <w:t>Item</w:t>
            </w:r>
          </w:p>
        </w:tc>
        <w:tc>
          <w:tcPr>
            <w:tcW w:type="dxa" w:w="1361"/>
          </w:tcPr>
          <w:p>
            <w:r/>
            <w:r>
              <w:rPr>
                <w:rFonts w:ascii="Calibri" w:hAnsi="Calibri"/>
                <w:b/>
                <w:sz w:val="17"/>
              </w:rPr>
              <w:t>Status</w:t>
            </w:r>
          </w:p>
        </w:tc>
        <w:tc>
          <w:tcPr>
            <w:tcW w:type="dxa" w:w="4535"/>
          </w:tcPr>
          <w:p>
            <w:r/>
            <w:r>
              <w:rPr>
                <w:rFonts w:ascii="Calibri" w:hAnsi="Calibri"/>
                <w:b/>
                <w:sz w:val="17"/>
              </w:rPr>
              <w:t>What it would take</w:t>
            </w:r>
          </w:p>
        </w:tc>
      </w:tr>
      <w:tr>
        <w:tc>
          <w:tcPr>
            <w:tcW w:type="dxa" w:w="3742"/>
          </w:tcPr>
          <w:p>
            <w:r/>
            <w:r>
              <w:rPr>
                <w:rFonts w:ascii="Calibri" w:hAnsi="Calibri"/>
                <w:sz w:val="17"/>
              </w:rPr>
              <w:t>Duplicate job types across projects (letter-dispatch, notify-pathway-coordinator, funding-validation implemented twice)</w:t>
            </w:r>
          </w:p>
        </w:tc>
        <w:tc>
          <w:tcPr>
            <w:tcW w:type="dxa" w:w="1361"/>
          </w:tcPr>
          <w:p>
            <w:r/>
            <w:r>
              <w:rPr>
                <w:rFonts w:ascii="Calibri" w:hAnsi="Calibri"/>
                <w:sz w:val="17"/>
              </w:rPr>
              <w:t>Open</w:t>
            </w:r>
          </w:p>
        </w:tc>
        <w:tc>
          <w:tcPr>
            <w:tcW w:type="dxa" w:w="4535"/>
          </w:tcPr>
          <w:p>
            <w:r/>
            <w:r>
              <w:rPr>
                <w:rFonts w:ascii="Calibri" w:hAnsi="Calibri"/>
                <w:sz w:val="17"/>
              </w:rPr>
              <w:t>Remove the duplicate workers from the member projects, or run a single worker application</w:t>
            </w:r>
          </w:p>
        </w:tc>
      </w:tr>
      <w:tr>
        <w:tc>
          <w:tcPr>
            <w:tcW w:type="dxa" w:w="3742"/>
          </w:tcPr>
          <w:p>
            <w:r/>
            <w:r>
              <w:rPr>
                <w:rFonts w:ascii="Calibri" w:hAnsi="Calibri"/>
                <w:sz w:val="17"/>
              </w:rPr>
              <w:t>Concurrent / high-volume behaviour of the file database</w:t>
            </w:r>
          </w:p>
        </w:tc>
        <w:tc>
          <w:tcPr>
            <w:tcW w:type="dxa" w:w="1361"/>
          </w:tcPr>
          <w:p>
            <w:r/>
            <w:r>
              <w:rPr>
                <w:rFonts w:ascii="Calibri" w:hAnsi="Calibri"/>
                <w:sz w:val="17"/>
              </w:rPr>
              <w:t>Not tested</w:t>
            </w:r>
          </w:p>
        </w:tc>
        <w:tc>
          <w:tcPr>
            <w:tcW w:type="dxa" w:w="4535"/>
          </w:tcPr>
          <w:p>
            <w:r/>
            <w:r>
              <w:rPr>
                <w:rFonts w:ascii="Calibri" w:hAnsi="Calibri"/>
                <w:sz w:val="17"/>
              </w:rPr>
              <w:t>Move to a server database and test with concurrent instances</w:t>
            </w:r>
          </w:p>
        </w:tc>
      </w:tr>
      <w:tr>
        <w:tc>
          <w:tcPr>
            <w:tcW w:type="dxa" w:w="3742"/>
          </w:tcPr>
          <w:p>
            <w:r/>
            <w:r>
              <w:rPr>
                <w:rFonts w:ascii="Calibri" w:hAnsi="Calibri"/>
                <w:sz w:val="17"/>
              </w:rPr>
              <w:t>Automated regression suite</w:t>
            </w:r>
          </w:p>
        </w:tc>
        <w:tc>
          <w:tcPr>
            <w:tcW w:type="dxa" w:w="1361"/>
          </w:tcPr>
          <w:p>
            <w:r/>
            <w:r>
              <w:rPr>
                <w:rFonts w:ascii="Calibri" w:hAnsi="Calibri"/>
                <w:sz w:val="17"/>
              </w:rPr>
              <w:t>Not present</w:t>
            </w:r>
          </w:p>
        </w:tc>
        <w:tc>
          <w:tcPr>
            <w:tcW w:type="dxa" w:w="4535"/>
          </w:tcPr>
          <w:p>
            <w:r/>
            <w:r>
              <w:rPr>
                <w:rFonts w:ascii="Calibri" w:hAnsi="Calibri"/>
                <w:sz w:val="17"/>
              </w:rPr>
              <w:t>Convert the existing scripts into tests and run them on each build</w:t>
            </w:r>
          </w:p>
        </w:tc>
      </w:tr>
      <w:tr>
        <w:tc>
          <w:tcPr>
            <w:tcW w:type="dxa" w:w="3742"/>
          </w:tcPr>
          <w:p>
            <w:r/>
            <w:r>
              <w:rPr>
                <w:rFonts w:ascii="Calibri" w:hAnsi="Calibri"/>
                <w:sz w:val="17"/>
              </w:rPr>
              <w:t>Live pathway dashboard</w:t>
            </w:r>
          </w:p>
        </w:tc>
        <w:tc>
          <w:tcPr>
            <w:tcW w:type="dxa" w:w="1361"/>
          </w:tcPr>
          <w:p>
            <w:r/>
            <w:r>
              <w:rPr>
                <w:rFonts w:ascii="Calibri" w:hAnsi="Calibri"/>
                <w:sz w:val="17"/>
              </w:rPr>
              <w:t>Not present</w:t>
            </w:r>
          </w:p>
        </w:tc>
        <w:tc>
          <w:tcPr>
            <w:tcW w:type="dxa" w:w="4535"/>
          </w:tcPr>
          <w:p>
            <w:r/>
            <w:r>
              <w:rPr>
                <w:rFonts w:ascii="Calibri" w:hAnsi="Calibri"/>
                <w:sz w:val="17"/>
              </w:rPr>
              <w:t>Read-only view over the audit and pathway tables</w:t>
            </w:r>
          </w:p>
        </w:tc>
      </w:tr>
      <w:tr>
        <w:tc>
          <w:tcPr>
            <w:tcW w:type="dxa" w:w="3742"/>
          </w:tcPr>
          <w:p>
            <w:r/>
            <w:r>
              <w:rPr>
                <w:rFonts w:ascii="Calibri" w:hAnsi="Calibri"/>
                <w:sz w:val="17"/>
              </w:rPr>
              <w:t>Encryption at rest for personal and payment data</w:t>
            </w:r>
          </w:p>
        </w:tc>
        <w:tc>
          <w:tcPr>
            <w:tcW w:type="dxa" w:w="1361"/>
          </w:tcPr>
          <w:p>
            <w:r/>
            <w:r>
              <w:rPr>
                <w:rFonts w:ascii="Calibri" w:hAnsi="Calibri"/>
                <w:sz w:val="17"/>
              </w:rPr>
              <w:t>Not present</w:t>
            </w:r>
          </w:p>
        </w:tc>
        <w:tc>
          <w:tcPr>
            <w:tcW w:type="dxa" w:w="4535"/>
          </w:tcPr>
          <w:p>
            <w:r/>
            <w:r>
              <w:rPr>
                <w:rFonts w:ascii="Calibri" w:hAnsi="Calibri"/>
                <w:sz w:val="17"/>
              </w:rPr>
              <w:t>Server database with encryption and key management</w:t>
            </w:r>
          </w:p>
        </w:tc>
      </w:tr>
    </w:tbl>
    <w:p>
      <w:pPr>
        <w:spacing w:after="40"/>
      </w:pP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