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002/74514/02/2018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Ir. SITTI MARWIAH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196509021994012001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Tk. I / (III/d)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Kepala Bidang Statistik Sosial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Pengawasan Administrasi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3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07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09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Kendari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06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Ir. H. ATQO MARDIYANTO, M.Si.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196405081987021002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002/74514/02/2018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Ir. SITTI MARWIAH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196509021994012001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Kepala Bidang Statistik Sosial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Pengawasan Administrasi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07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06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Wakatobi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07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Ir. H. ATQO MARDIYANTO, M.Si.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09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