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166/74514/02/2017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ARDIMAN ADAMI, S.Psi.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198205112011011011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Muda  Tk. I / (III/b)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Staf Subbagian Kepegawaian (TMT 01/01/2011)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Pencacahan Dalam Rangka Survei Harga Perdagangan Besar (HPB)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Kendari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2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8 Maret 2018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9 Maret 2018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28 Februari 2018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Ir. ATQO MARDIYANTO, M.Si.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196405081987021002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1A42CC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1A42CC" w:rsidTr="00224453">
        <w:tc>
          <w:tcPr>
            <w:tcW w:w="1141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1A42CC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166/74514/02/2017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1A42CC" w:rsidTr="00B72FB3">
        <w:trPr>
          <w:trHeight w:val="540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BB036E" w:rsidRPr="001A42CC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1A42CC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ARDIMAN ADAMI, S.Psi.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1A42CC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198205112011011011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 w:val="restart"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Penata Muda  Tk. I / (III/b)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Staf Subbagian Kepegawaian (TMT 01/01/2011)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1A42C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1A42CC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B036E" w:rsidRPr="001A42CC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Pencacahan Dalam Rangka Survei Harga Perdagangan Besar (HPB)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B72FB3"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BB036E" w:rsidRPr="001A42CC" w:rsidTr="00B72FB3">
        <w:trPr>
          <w:trHeight w:val="588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1A42C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BB036E" w:rsidRPr="001A42C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Kendari</w:t>
            </w:r>
          </w:p>
        </w:tc>
      </w:tr>
      <w:tr w:rsidR="00BB036E" w:rsidRPr="001A42CC" w:rsidTr="00B72FB3">
        <w:trPr>
          <w:trHeight w:val="527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BB036E" w:rsidRPr="001A42CC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8 Maret 2018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1A42CC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9 Maret 2018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1A42CC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054.01.06</w:t>
            </w:r>
          </w:p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2895</w:t>
            </w:r>
          </w:p>
          <w:p w:rsidR="00BB036E" w:rsidRPr="001A42CC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020</w:t>
            </w:r>
          </w:p>
          <w:p w:rsidR="00BB036E" w:rsidRPr="001A42CC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101</w:t>
            </w:r>
          </w:p>
        </w:tc>
      </w:tr>
      <w:tr w:rsidR="00BB036E" w:rsidRPr="001A42CC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1A42CC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BB036E" w:rsidRPr="001A42CC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1A42CC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B73528" w:rsidTr="00B72FB3">
        <w:tc>
          <w:tcPr>
            <w:tcW w:w="3686" w:type="dxa"/>
            <w:shd w:val="clear" w:color="auto" w:fill="auto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28 Februari 2018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1A42CC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12162E" w:rsidRPr="001A42CC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A42CC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B73528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8 Maret 2018</w:t>
            </w:r>
          </w:p>
        </w:tc>
      </w:tr>
      <w:tr w:rsidR="00BB036E" w:rsidRPr="00B73528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1A42CC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Ir. ATQO MARDIYANTO, M.Si.</w:t>
            </w:r>
          </w:p>
          <w:p w:rsidR="00BB036E" w:rsidRPr="001A42CC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1A42CC">
              <w:rPr>
                <w:rFonts w:ascii="Arial" w:hAnsi="Arial" w:cs="Arial"/>
                <w:sz w:val="22"/>
                <w:szCs w:val="22"/>
                <w:lang w:val="es-ES"/>
              </w:rPr>
              <w:t>196405081987021002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8 Maret 2018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="00B73528" w:rsidRPr="001A42CC">
              <w:rPr>
                <w:rFonts w:ascii="Arial" w:hAnsi="Arial" w:cs="Arial"/>
                <w:sz w:val="22"/>
                <w:szCs w:val="22"/>
              </w:rPr>
              <w:t>9 Maret 2018</w:t>
            </w:r>
            <w:bookmarkStart w:id="0" w:name="_GoBack"/>
            <w:bookmarkEnd w:id="0"/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9 Maret 2018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1A42CC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2416B2" w:rsidRPr="001A42CC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311" w:type="dxa"/>
            <w:gridSpan w:val="7"/>
          </w:tcPr>
          <w:p w:rsidR="00BB036E" w:rsidRPr="001A42CC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1A42CC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AB50FC" w:rsidRPr="001A42CC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BB036E" w:rsidRPr="001A42CC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0D32FF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FF" w:rsidRDefault="000D32FF" w:rsidP="000820A3">
      <w:r>
        <w:separator/>
      </w:r>
    </w:p>
  </w:endnote>
  <w:endnote w:type="continuationSeparator" w:id="0">
    <w:p w:rsidR="000D32FF" w:rsidRDefault="000D32FF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FF" w:rsidRDefault="000D32FF" w:rsidP="000820A3">
      <w:r>
        <w:separator/>
      </w:r>
    </w:p>
  </w:footnote>
  <w:footnote w:type="continuationSeparator" w:id="0">
    <w:p w:rsidR="000D32FF" w:rsidRDefault="000D32FF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2018-02-02T02:11:00Z</dcterms:created>
  <dcterms:modified xsi:type="dcterms:W3CDTF">2018-02-26T05:45:00Z</dcterms:modified>
</cp:coreProperties>
</file>