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Microsoft 365 跨云迁移环境摸排表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333333"/>
          <w:sz w:val="22"/>
        </w:rPr>
        <w:t>（21Vianet 世纪互联  →  Global 国际版）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808080"/>
          <w:sz w:val="19"/>
        </w:rPr>
        <w:t>填写说明：</w:t>
      </w:r>
      <w:r>
        <w:rPr>
          <w:rFonts w:ascii="Times New Roman" w:hAnsi="Times New Roman" w:eastAsia="宋体"/>
          <w:b/>
          <w:color w:val="C00000"/>
          <w:sz w:val="19"/>
        </w:rPr>
        <w:t>★ 必填</w:t>
      </w:r>
      <w:r>
        <w:rPr>
          <w:rFonts w:ascii="Times New Roman" w:hAnsi="Times New Roman" w:eastAsia="宋体"/>
          <w:b w:val="0"/>
          <w:color w:val="808080"/>
          <w:sz w:val="19"/>
        </w:rPr>
        <w:t xml:space="preserve"> 出方案/报价前必须提供　</w:t>
      </w:r>
      <w:r>
        <w:rPr>
          <w:rFonts w:ascii="Times New Roman" w:hAnsi="Times New Roman" w:eastAsia="宋体"/>
          <w:b/>
          <w:color w:val="808080"/>
          <w:sz w:val="19"/>
        </w:rPr>
        <w:t>○ 后续</w:t>
      </w:r>
      <w:r>
        <w:rPr>
          <w:rFonts w:ascii="Times New Roman" w:hAnsi="Times New Roman" w:eastAsia="宋体"/>
          <w:b w:val="0"/>
          <w:color w:val="808080"/>
          <w:sz w:val="19"/>
        </w:rPr>
        <w:t xml:space="preserve"> 详细盘点/POC 阶段补充　|　灰色 ▸ 为备选项及填写提示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val="464" w:hRule="atLeast"/>
        </w:trPr>
        <w:tc>
          <w:tcPr>
            <w:tcW w:type="dxa" w:w="16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客户名称</w:t>
            </w:r>
          </w:p>
        </w:tc>
        <w:tc>
          <w:tcPr>
            <w:tcW w:type="dxa" w:w="334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对接人 / 职务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464" w:hRule="atLeast"/>
        </w:trPr>
        <w:tc>
          <w:tcPr>
            <w:tcW w:type="dxa" w:w="16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访谈日期</w:t>
            </w:r>
          </w:p>
        </w:tc>
        <w:tc>
          <w:tcPr>
            <w:tcW w:type="dxa" w:w="334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填写人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464" w:hRule="atLeast"/>
        </w:trPr>
        <w:tc>
          <w:tcPr>
            <w:tcW w:type="dxa" w:w="164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联系方式</w:t>
            </w:r>
          </w:p>
        </w:tc>
        <w:tc>
          <w:tcPr>
            <w:tcW w:type="dxa" w:w="3345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  <w:tc>
          <w:tcPr>
            <w:tcW w:type="dxa" w:w="187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fill="FAFAFA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源租户（21V）域名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A  项目目标与成功标准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迁移范围是整租户还是分部门分批？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有无「不迁」的负载或部门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期望上线/完成时间？有无硬截止？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合同 / 合规 / License 到期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113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保真度要求？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邮箱要历史+日历+联系人？文件要保留历史版本？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Teams 聊天历史：活跃可读会话 / 仅归档 / 不要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可接受的停机或切换窗口？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周末几小时 / 要求零感知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验收成功标准是什么？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容量误差 % / 抽样无损 / 关键用户 UAT 通过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B  在用组件总览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136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当前 21V 租户实际在用哪些负载？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□ Entra ID　□ Exchange　□ SharePoint　□ OneDrive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□ Teams　□ Power Automate/Apps　□ 其他 __________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订阅计划与授权用户数？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E3 / E5 / Business / …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C  身份（Entra ID / AAD）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需迁移的用户总数？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含 / 不含已禁用账号分别多少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736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是否与本地 AD 目录同步？身份权威源在云还是本地？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组与来宾、安全策略清单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安全组/通讯组/M365 组数量；来宾用户数；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MFA / 条件访问策略（仅清单，不可迁）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D  邮箱（Exchange Online）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邮箱总数 + 邮箱总容量？最大单邮箱多大？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单位 GB / TB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共享邮箱 / 资源邮箱各多少？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资源邮箱含会议室 · 设备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归档与保留策略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在线归档容量；诉讼保留/保留策略涉及邮箱数；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邮件域名（含别名域）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E  SharePoint Online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站点总数 + SharePoint 总占用空间？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单位 GB / TB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736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是否需迁移租户根 / 顶级站点？有无全员门户？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136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超限站点与定制盘点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超限站点(&gt;5TB / &gt;100万项 / 路径&gt;400字符)；自定义内容类型·术语库；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SPFx·第三方 WebPart·自定义模板；独立权限项·外部共享链接量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F  OneDrive for Business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启用 OneDrive 用户数 + 总占用空间？最大单盘？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单位 GB / TB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共享链接使用量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跨云后链接失效需重建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G  Teams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119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Team（团队）数量 + Teams 整体占用空间？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文件存于后端 SharePoint，与 SP 容量可能重叠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聊天/频道历史是否要迁？保真度？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活跃会话 / 仅归档（决定走官方 Migration API 还是归档）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频道与应用配置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私有 / 共享频道；Tabs·Apps·Connectors·机器人；Teams 语音电话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H  工作流与定制开发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有无 Power Automate 流 / Power Apps 应用支撑业务？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大致数量与重要性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旧版工作流与模板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SP 旧版工作流 / InfoPath 表单（2026 退役需重建）；自定义模板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I  加密与数据出境  （红线，需书面确认）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是否启用 AIP/RMS 或敏感度标签加密？涉及内容量？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加密内容迁前必须解密，否则不可读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数据出境合规由谁决策？是否已做数据分类与出境评估？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是否含个人信息 / 重要数据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J  目标环境（Global）就绪度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Global 租户是否已开通？租户域名？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____________.onmicrosoft.com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数据中心区域 + 选定依据？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East Asia / Southeast Asia / West Europe / East US …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订阅类型与授权数量是否就位、够覆盖迁移用户？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680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域名验证与 DNS 管理权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MX / Autodiscover 切换需要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rPr>
          <w:trHeight w:val="328" w:hRule="atLeast"/>
        </w:trPr>
        <w:tc>
          <w:tcPr>
            <w:tcW w:type="dxa" w:w="9978"/>
            <w:vAlign w:val="center"/>
            <w:tcMar>
              <w:top w:w="40" w:type="dxa"/>
              <w:bottom w:w="40" w:type="dxa"/>
              <w:start w:w="120" w:type="dxa"/>
              <w:end w:w="80" w:type="dxa"/>
            </w:tcMar>
            <w:shd w:val="clear" w:fill="E8E8E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K  管理权限与迁移执行条件  （落地前提）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113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能否提供两端全局管理员账号？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源 21V + 目标 Global；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或可建迁移专用管理员 + 注册 Entra App（App-Only 证书授权）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能否在境内提供一台中转机 / 虚机？规格多少？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跨境带宽差时跑抗断点中转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63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C00000"/>
                <w:sz w:val="21"/>
              </w:rPr>
              <w:t xml:space="preserve">★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境内访问 Global 端点是否通畅？能否实测跨境带宽？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有无防火墙 / 代理限制需放行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  <w:tr>
        <w:trPr>
          <w:trHeight w:val="907" w:hRule="atLeast"/>
        </w:trPr>
        <w:tc>
          <w:tcPr>
            <w:tcW w:type="dxa" w:w="5783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 w:eastAsia="黑体"/>
                <w:b/>
                <w:color w:val="808080"/>
                <w:sz w:val="21"/>
              </w:rPr>
              <w:t xml:space="preserve">○ </w:t>
            </w: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暂存与变更流程</w:t>
            </w:r>
            <w:r>
              <w:br/>
            </w:r>
            <w:r>
              <w:rPr>
                <w:rFonts w:ascii="Times New Roman" w:hAnsi="Times New Roman" w:eastAsia="宋体"/>
                <w:b w:val="0"/>
                <w:color w:val="808080"/>
                <w:sz w:val="17"/>
              </w:rPr>
              <w:t>▸ 是否允许 Azure Blob 作跨云文件暂存；变更窗口审批与切换决策人</w:t>
            </w:r>
          </w:p>
        </w:tc>
        <w:tc>
          <w:tcPr>
            <w:tcW w:type="dxa" w:w="4195"/>
            <w:vAlign w:val="top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</w:r>
          </w:p>
        </w:tc>
      </w:tr>
    </w:tbl>
    <w:p>
      <w:pPr>
        <w:spacing w:after="20"/>
      </w:pPr>
    </w:p>
    <w:p>
      <w:pPr>
        <w:spacing w:before="80" w:after="20"/>
      </w:pPr>
      <w:r>
        <w:rPr>
          <w:rFonts w:ascii="Times New Roman" w:hAnsi="Times New Roman" w:eastAsia="黑体"/>
          <w:b/>
          <w:color w:val="C00000"/>
          <w:sz w:val="20"/>
        </w:rPr>
        <w:t xml:space="preserve">★ 必填项速览　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color w:val="333333"/>
          <w:sz w:val="18"/>
        </w:rPr>
        <w:t>A 范围+时间+保真度+窗口+成功标准　·　B 在用组件+授权数　·　C 用户总数+本地AD同步　·　D 邮箱数+总容量　·　E 站点数+总容量+是否迁顶级站点　·　F OneDrive用户数+总容量　·　G Team数+容量+聊天保真　·　H Power Automate/Apps　·　I 加密内容量+出境合规决策方　·　J Global就绪+数据中心区域+授权数　·　K 两端管理员+中转机+网络出口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