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8</w:t>
      </w:r>
    </w:p>
    <w:p>
      <w:pPr>
        <w:spacing w:after="200"/>
        <w:jc w:val="center"/>
      </w:pPr>
      <w:r>
        <w:rPr>
          <w:rFonts w:ascii="Arial" w:cs="Arial" w:eastAsia="Arial" w:hAnsi="Arial"/>
          <w:b/>
          <w:bCs/>
          <w:color w:val="1B3A5C"/>
          <w:sz w:val="48"/>
          <w:szCs w:val="48"/>
        </w:rPr>
        <w:t xml:space="preserve">Understanding Your Triggers</w:t>
      </w:r>
    </w:p>
    <w:p>
      <w:pPr>
        <w:spacing w:after="400"/>
        <w:jc w:val="center"/>
      </w:pPr>
      <w:r>
        <w:rPr>
          <w:rFonts w:ascii="Arial" w:cs="Arial" w:eastAsia="Arial" w:hAnsi="Arial"/>
          <w:b/>
          <w:bCs/>
          <w:color w:val="1B3A5C"/>
          <w:sz w:val="48"/>
          <w:szCs w:val="48"/>
        </w:rPr>
        <w:t xml:space="preserve">and Building Defenses</w:t>
      </w:r>
    </w:p>
    <w:p>
      <w:pPr>
        <w:spacing w:after="100"/>
        <w:jc w:val="center"/>
      </w:pPr>
      <w:r>
        <w:rPr>
          <w:rFonts w:ascii="Arial" w:cs="Arial" w:eastAsia="Arial" w:hAnsi="Arial"/>
          <w:color w:val="666666"/>
          <w:sz w:val="24"/>
          <w:szCs w:val="24"/>
        </w:rPr>
        <w:t xml:space="preserve">Three Circles, HALT, and Arousal Template Awareness</w:t>
      </w:r>
    </w:p>
    <w:p>
      <w:pPr>
        <w:spacing w:before="800"/>
      </w:pPr>
    </w:p>
    <w:p>
      <w:pPr>
        <w:spacing w:after="60"/>
        <w:jc w:val="center"/>
      </w:pPr>
      <w:r>
        <w:rPr>
          <w:rFonts w:ascii="Arial" w:cs="Arial" w:eastAsia="Arial" w:hAnsi="Arial"/>
          <w:i/>
          <w:iCs/>
          <w:color w:val="666666"/>
          <w:sz w:val="20"/>
          <w:szCs w:val="20"/>
        </w:rPr>
        <w:t xml:space="preserve">Primary Source: Patrick Carnes, Facing the Shadow / Recovery Zone</w:t>
      </w:r>
    </w:p>
    <w:p>
      <w:pPr>
        <w:spacing w:after="60"/>
        <w:jc w:val="center"/>
      </w:pPr>
      <w:r>
        <w:rPr>
          <w:rFonts w:ascii="Arial" w:cs="Arial" w:eastAsia="Arial" w:hAnsi="Arial"/>
          <w:i/>
          <w:iCs/>
          <w:color w:val="666666"/>
          <w:sz w:val="18"/>
          <w:szCs w:val="18"/>
        </w:rPr>
        <w:t xml:space="preserve">With insights from Michael John Cusick, Jay Stringer, Ted Roberts, and William Struthers</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equips you with the tactical tools of recovery — the specific frameworks that help you recognize danger and respond before it’s too late. Ask God to give you the honesty to map your behaviors accurately and the courage to build defenses you will actually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You are a God of strategy and order. You don’t ask Your people to fight blind — You equip them with armor, weapons, and battle plans. Today I’m learning mine. Help me see my behaviors with clinical honesty — the red zones I’ve been pretending are yellow, the yellow zones I’ve been calling green. Show me where I’m vulnerable and help me build defenses that hold, not walls that crumble at the first real test. I want to fight smart, not just hard.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THE THREE CIRCLES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“Above all else, guard your heart, for everything you do flows from it.”</w:t>
            </w:r>
          </w:p>
          <w:p>
            <w:pPr>
              <w:jc w:val="right"/>
            </w:pPr>
            <w:r>
              <w:rPr>
                <w:rFonts w:ascii="Arial" w:cs="Arial" w:eastAsia="Arial" w:hAnsi="Arial"/>
                <w:color w:val="2E7D8C"/>
                <w:sz w:val="18"/>
                <w:szCs w:val="18"/>
              </w:rPr>
              <w:t xml:space="preserve">— Proverbs 4:23</w:t>
            </w:r>
          </w:p>
        </w:tc>
      </w:tr>
    </w:tbl>
    <w:p>
      <w:pPr>
        <w:spacing w:before="200"/>
      </w:pPr>
    </w:p>
    <w:p>
      <w:pPr>
        <w:spacing w:before="80" w:after="120" w:line="320"/>
      </w:pPr>
      <w:r>
        <w:rPr>
          <w:rFonts w:ascii="Arial" w:cs="Arial" w:eastAsia="Arial" w:hAnsi="Arial"/>
          <w:color w:val="333333"/>
          <w:sz w:val="22"/>
          <w:szCs w:val="22"/>
        </w:rPr>
        <w:t xml:space="preserve">Patrick Carnes developed the Three Circles tool as the foundational behavioral mapping exercise for sexual addiction recovery. It is deceptively simple and profoundly important. Every person in recovery must know — with precision — what constitutes acting out, what constitutes warning behavior, and what constitutes healthy living. Without this clarity, the boundaries blur, and blurred boundaries are where relapse lives.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8"/>
              <w:left w:val="single" w:color="CCCCCC" w:sz="1"/>
              <w:bottom w:val="single" w:color="CCCCCC" w:sz="1"/>
              <w:right w:val="single" w:color="CCCCCC" w:sz="1"/>
            </w:tcBorders>
            <w:tcMar>
              <w:top w:type="dxa" w:w="160"/>
              <w:left w:type="dxa" w:w="200"/>
              <w:bottom w:type="dxa" w:w="160"/>
              <w:right w:type="dxa" w:w="200"/>
            </w:tcMar>
          </w:tcPr>
          <w:p>
            <w:pPr>
              <w:spacing w:after="100"/>
            </w:pPr>
            <w:r>
              <w:rPr>
                <w:rFonts w:ascii="Arial" w:cs="Arial" w:eastAsia="Arial" w:hAnsi="Arial"/>
                <w:b/>
                <w:bCs/>
                <w:color w:val="8B2500"/>
                <w:sz w:val="24"/>
                <w:szCs w:val="24"/>
              </w:rPr>
              <w:t xml:space="preserve">INNER CIRCLE — RED ZONE</w:t>
            </w:r>
          </w:p>
          <w:p>
            <w:pPr>
              <w:spacing w:after="120" w:line="310"/>
            </w:pPr>
            <w:r>
              <w:rPr>
                <w:rFonts w:ascii="Arial" w:cs="Arial" w:eastAsia="Arial" w:hAnsi="Arial"/>
                <w:color w:val="333333"/>
                <w:sz w:val="21"/>
                <w:szCs w:val="21"/>
              </w:rPr>
              <w:t xml:space="preserve">The behaviors from which you are abstaining. These are your bottom-line behaviors — the specific sexual acts that constitute a break in your sobriety. When you engage in any inner circle behavior, your sobriety clock resets. These must be defined with absolute clarity. Vague inner circles produce vague sobriety.</w:t>
            </w:r>
          </w:p>
          <w:p>
            <w:pPr>
              <w:spacing w:after="60"/>
            </w:pPr>
            <w:r>
              <w:rPr>
                <w:rFonts w:ascii="Arial" w:cs="Arial" w:eastAsia="Arial" w:hAnsi="Arial"/>
                <w:b/>
                <w:bCs/>
                <w:color w:val="555555"/>
                <w:sz w:val="20"/>
                <w:szCs w:val="20"/>
              </w:rPr>
              <w:t xml:space="preserve">Common examples: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Viewing pornography</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Compulsive masturbation</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Physical sexual contact outside marriage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Visiting sexually oriented businesses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Using dating/hookup apps for sexual purposes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Paying for sexual services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Engaging in cybersex or sexting</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Any other behavior you and your counselor define as acting out</w:t>
            </w:r>
          </w:p>
        </w:tc>
      </w:tr>
    </w:tbl>
    <w:p>
      <w:pPr>
        <w:spacing w:before="2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CCCCCC" w:sz="1"/>
              <w:bottom w:val="single" w:color="CCCCCC" w:sz="1"/>
              <w:right w:val="single" w:color="CCCCCC" w:sz="1"/>
            </w:tcBorders>
            <w:tcMar>
              <w:top w:type="dxa" w:w="160"/>
              <w:left w:type="dxa" w:w="200"/>
              <w:bottom w:type="dxa" w:w="160"/>
              <w:right w:type="dxa" w:w="200"/>
            </w:tcMar>
          </w:tcPr>
          <w:p>
            <w:pPr>
              <w:spacing w:after="100"/>
            </w:pPr>
            <w:r>
              <w:rPr>
                <w:rFonts w:ascii="Arial" w:cs="Arial" w:eastAsia="Arial" w:hAnsi="Arial"/>
                <w:b/>
                <w:bCs/>
                <w:color w:val="B8860B"/>
                <w:sz w:val="24"/>
                <w:szCs w:val="24"/>
              </w:rPr>
              <w:t xml:space="preserve">MIDDLE CIRCLE — YELLOW ZONE</w:t>
            </w:r>
          </w:p>
          <w:p>
            <w:pPr>
              <w:spacing w:after="120" w:line="310"/>
            </w:pPr>
            <w:r>
              <w:rPr>
                <w:rFonts w:ascii="Arial" w:cs="Arial" w:eastAsia="Arial" w:hAnsi="Arial"/>
                <w:color w:val="333333"/>
                <w:sz w:val="21"/>
                <w:szCs w:val="21"/>
              </w:rPr>
              <w:t xml:space="preserve">The warning behaviors that lead toward the inner circle. These are the rituals, the gray areas, the “not technically acting out but definitely heading that direction” behaviors. The middle circle is where most relapses are decided — even though the acting out hasn’t happened yet. When you find yourself in the middle circle, you are on a road that has only one destination unless you exit immediately.</w:t>
            </w:r>
          </w:p>
          <w:p>
            <w:pPr>
              <w:spacing w:after="60"/>
            </w:pPr>
            <w:r>
              <w:rPr>
                <w:rFonts w:ascii="Arial" w:cs="Arial" w:eastAsia="Arial" w:hAnsi="Arial"/>
                <w:b/>
                <w:bCs/>
                <w:color w:val="555555"/>
                <w:sz w:val="20"/>
                <w:szCs w:val="20"/>
              </w:rPr>
              <w:t xml:space="preserve">Common examples: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Lingering on social media looking at attractive people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Driving through neighborhoods associated with past behavior</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Staying up late alone with a device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Flirting or seeking attention from someone who isn’t your spouse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Watching movies or shows with sexual content “that aren’t technically porn”</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Fantasizing without acting on it</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Creating alone time you don’t need</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Isolating from your support network</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Lying about small things</w:t>
            </w:r>
          </w:p>
        </w:tc>
      </w:tr>
    </w:tbl>
    <w:p>
      <w:pPr>
        <w:spacing w:before="2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8"/>
              <w:left w:val="single" w:color="CCCCCC" w:sz="1"/>
              <w:bottom w:val="single" w:color="CCCCCC" w:sz="1"/>
              <w:right w:val="single" w:color="CCCCCC" w:sz="1"/>
            </w:tcBorders>
            <w:tcMar>
              <w:top w:type="dxa" w:w="160"/>
              <w:left w:type="dxa" w:w="200"/>
              <w:bottom w:type="dxa" w:w="160"/>
              <w:right w:type="dxa" w:w="200"/>
            </w:tcMar>
          </w:tcPr>
          <w:p>
            <w:pPr>
              <w:spacing w:after="100"/>
            </w:pPr>
            <w:r>
              <w:rPr>
                <w:rFonts w:ascii="Arial" w:cs="Arial" w:eastAsia="Arial" w:hAnsi="Arial"/>
                <w:b/>
                <w:bCs/>
                <w:color w:val="2E6B4F"/>
                <w:sz w:val="24"/>
                <w:szCs w:val="24"/>
              </w:rPr>
              <w:t xml:space="preserve">OUTER CIRCLE — GREEN ZONE</w:t>
            </w:r>
          </w:p>
          <w:p>
            <w:pPr>
              <w:spacing w:after="120" w:line="310"/>
            </w:pPr>
            <w:r>
              <w:rPr>
                <w:rFonts w:ascii="Arial" w:cs="Arial" w:eastAsia="Arial" w:hAnsi="Arial"/>
                <w:color w:val="333333"/>
                <w:sz w:val="21"/>
                <w:szCs w:val="21"/>
              </w:rPr>
              <w:t xml:space="preserve">The healthy behaviors that support your recovery. These are the practices, relationships, and rhythms that keep you in a place of strength. When you are living in the outer circle, you are not just avoiding the inner circle — you are building a life that doesn’t need it. Recovery is not about the absence of bad behavior. It is about the presence of a full, connected, honest life.</w:t>
            </w:r>
          </w:p>
          <w:p>
            <w:pPr>
              <w:spacing w:after="60"/>
            </w:pPr>
            <w:r>
              <w:rPr>
                <w:rFonts w:ascii="Arial" w:cs="Arial" w:eastAsia="Arial" w:hAnsi="Arial"/>
                <w:b/>
                <w:bCs/>
                <w:color w:val="555555"/>
                <w:sz w:val="20"/>
                <w:szCs w:val="20"/>
              </w:rPr>
              <w:t xml:space="preserve">Common examples: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Making your daily phone call to your sponsor</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Attending your recovery group meeting</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Journaling honestly about your emotions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Exercising regularly</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Praying and reading scripture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Having honest conversations with your spouse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Spending quality time with your children</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Connecting with healthy male friendships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Practicing gratitude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Serving others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Going to bed at a reasonable hour with your phone in another room</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Yellow Zone Is Where Recovery Is Won or Lost</w:t>
            </w:r>
          </w:p>
          <w:p>
            <w:pPr>
              <w:spacing w:before="0" w:line="300"/>
            </w:pPr>
            <w:r>
              <w:rPr>
                <w:rFonts w:ascii="Arial" w:cs="Arial" w:eastAsia="Arial" w:hAnsi="Arial"/>
                <w:color w:val="333333"/>
                <w:sz w:val="21"/>
                <w:szCs w:val="21"/>
              </w:rPr>
              <w:t xml:space="preserve">Most recovering men can define their inner circle. Most can list outer circle behaviors. But the middle circle is where the real battle happens. It’s the zone of rationalization: “This isn’t really acting out.” “It’s not that bad.” “I can handle this.” Learning to recognize middle circle behavior and treating it as an emergency — not a minor concern — is the difference between sustained recovery and repeated relapse.</w:t>
            </w:r>
          </w:p>
        </w:tc>
      </w:tr>
    </w:tbl>
    <w:p>
      <w:r>
        <w:br/>
      </w:r>
    </w:p>
    <w:p>
      <w:pPr>
        <w:pStyle w:val="Heading2"/>
      </w:pPr>
      <w:r>
        <w:rPr>
          <w:rFonts w:ascii="Arial" w:cs="Arial" w:eastAsia="Arial" w:hAnsi="Arial"/>
        </w:rPr>
        <w:t xml:space="preserve">Mapping Your Three Circles</w:t>
      </w:r>
    </w:p>
    <w:p>
      <w:pPr>
        <w:spacing w:before="100" w:after="200"/>
      </w:pPr>
      <w:r>
        <w:rPr>
          <w:rFonts w:ascii="Arial" w:cs="Arial" w:eastAsia="Arial" w:hAnsi="Arial"/>
          <w:i/>
          <w:iCs/>
          <w:color w:val="666666"/>
          <w:sz w:val="20"/>
          <w:szCs w:val="20"/>
        </w:rPr>
        <w:t xml:space="preserve">Fill in each circle with YOUR specific behaviors. Not the generic examples above — your actual, personal, concrete behaviors. The more specific you are, the more useful this tool becomes. Share this with your sponsor or counselor for accountability and feedback.</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6"/>
              <w:left w:val="single" w:color="CCCCCC" w:sz="1"/>
              <w:bottom w:val="single" w:color="CCCCCC" w:sz="1"/>
              <w:right w:val="single" w:color="CCCCCC" w:sz="1"/>
            </w:tcBorders>
            <w:tcMar>
              <w:top w:type="dxa" w:w="120"/>
              <w:left w:type="dxa" w:w="200"/>
              <w:bottom w:type="dxa" w:w="120"/>
              <w:right w:type="dxa" w:w="200"/>
            </w:tcMar>
          </w:tcPr>
          <w:p>
            <w:pPr>
              <w:spacing w:after="100"/>
            </w:pPr>
            <w:r>
              <w:rPr>
                <w:rFonts w:ascii="Arial" w:cs="Arial" w:eastAsia="Arial" w:hAnsi="Arial"/>
                <w:b/>
                <w:bCs/>
                <w:color w:val="8B2500"/>
                <w:sz w:val="22"/>
                <w:szCs w:val="22"/>
              </w:rPr>
              <w:t xml:space="preserve">MY INNER CIRCLE (Red Zone) — Sobriety breaks if I do any of these:</w:t>
            </w:r>
          </w:p>
          <w:p>
            <w:pPr>
              <w:pBdr>
                <w:bottom w:val="single" w:color="CCCCCC" w:sz="1" w:space="1"/>
              </w:pBdr>
              <w:spacing w:after="280"/>
            </w:pPr>
            <w:r>
              <w:rPr>
                <w:rFonts w:ascii="Arial" w:cs="Arial" w:eastAsia="Arial" w:hAnsi="Arial"/>
                <w:color w:val="666666"/>
                <w:sz w:val="20"/>
                <w:szCs w:val="20"/>
              </w:rPr>
              <w:t xml:space="preserve">1. </w:t>
            </w:r>
          </w:p>
          <w:p>
            <w:pPr>
              <w:pBdr>
                <w:bottom w:val="single" w:color="CCCCCC" w:sz="1" w:space="1"/>
              </w:pBdr>
              <w:spacing w:after="280"/>
            </w:pPr>
            <w:r>
              <w:rPr>
                <w:rFonts w:ascii="Arial" w:cs="Arial" w:eastAsia="Arial" w:hAnsi="Arial"/>
                <w:color w:val="666666"/>
                <w:sz w:val="20"/>
                <w:szCs w:val="20"/>
              </w:rPr>
              <w:t xml:space="preserve">2. </w:t>
            </w:r>
          </w:p>
          <w:p>
            <w:pPr>
              <w:pBdr>
                <w:bottom w:val="single" w:color="CCCCCC" w:sz="1" w:space="1"/>
              </w:pBdr>
              <w:spacing w:after="280"/>
            </w:pPr>
            <w:r>
              <w:rPr>
                <w:rFonts w:ascii="Arial" w:cs="Arial" w:eastAsia="Arial" w:hAnsi="Arial"/>
                <w:color w:val="666666"/>
                <w:sz w:val="20"/>
                <w:szCs w:val="20"/>
              </w:rPr>
              <w:t xml:space="preserve">3. </w:t>
            </w:r>
          </w:p>
          <w:p>
            <w:pPr>
              <w:pBdr>
                <w:bottom w:val="single" w:color="CCCCCC" w:sz="1" w:space="1"/>
              </w:pBdr>
              <w:spacing w:after="280"/>
            </w:pPr>
            <w:r>
              <w:rPr>
                <w:rFonts w:ascii="Arial" w:cs="Arial" w:eastAsia="Arial" w:hAnsi="Arial"/>
                <w:color w:val="666666"/>
                <w:sz w:val="20"/>
                <w:szCs w:val="20"/>
              </w:rPr>
              <w:t xml:space="preserve">4. </w:t>
            </w:r>
          </w:p>
          <w:p>
            <w:pPr>
              <w:pBdr>
                <w:bottom w:val="single" w:color="CCCCCC" w:sz="1" w:space="1"/>
              </w:pBdr>
              <w:spacing w:after="280"/>
            </w:pPr>
            <w:r>
              <w:rPr>
                <w:rFonts w:ascii="Arial" w:cs="Arial" w:eastAsia="Arial" w:hAnsi="Arial"/>
                <w:color w:val="666666"/>
                <w:sz w:val="20"/>
                <w:szCs w:val="20"/>
              </w:rPr>
              <w:t xml:space="preserve">5. </w:t>
            </w:r>
          </w:p>
          <w:p>
            <w:pPr>
              <w:pBdr>
                <w:bottom w:val="single" w:color="CCCCCC" w:sz="1" w:space="1"/>
              </w:pBdr>
              <w:spacing w:after="280"/>
            </w:pPr>
            <w:r>
              <w:rPr>
                <w:rFonts w:ascii="Arial" w:cs="Arial" w:eastAsia="Arial" w:hAnsi="Arial"/>
                <w:color w:val="666666"/>
                <w:sz w:val="20"/>
                <w:szCs w:val="20"/>
              </w:rPr>
              <w:t xml:space="preserve">6. </w:t>
            </w:r>
          </w:p>
        </w:tc>
      </w:tr>
    </w:tbl>
    <w:p>
      <w:pPr>
        <w:spacing w:before="2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CCCCCC" w:sz="1"/>
              <w:bottom w:val="single" w:color="CCCCCC" w:sz="1"/>
              <w:right w:val="single" w:color="CCCCCC" w:sz="1"/>
            </w:tcBorders>
            <w:tcMar>
              <w:top w:type="dxa" w:w="120"/>
              <w:left w:type="dxa" w:w="200"/>
              <w:bottom w:type="dxa" w:w="120"/>
              <w:right w:type="dxa" w:w="200"/>
            </w:tcMar>
          </w:tcPr>
          <w:p>
            <w:pPr>
              <w:spacing w:after="100"/>
            </w:pPr>
            <w:r>
              <w:rPr>
                <w:rFonts w:ascii="Arial" w:cs="Arial" w:eastAsia="Arial" w:hAnsi="Arial"/>
                <w:b/>
                <w:bCs/>
                <w:color w:val="B8860B"/>
                <w:sz w:val="22"/>
                <w:szCs w:val="22"/>
              </w:rPr>
              <w:t xml:space="preserve">MY MIDDLE CIRCLE (Yellow Zone) — Warning: I am heading toward relapse:</w:t>
            </w:r>
          </w:p>
          <w:p>
            <w:pPr>
              <w:pBdr>
                <w:bottom w:val="single" w:color="CCCCCC" w:sz="1" w:space="1"/>
              </w:pBdr>
              <w:spacing w:after="280"/>
            </w:pPr>
            <w:r>
              <w:rPr>
                <w:rFonts w:ascii="Arial" w:cs="Arial" w:eastAsia="Arial" w:hAnsi="Arial"/>
                <w:color w:val="666666"/>
                <w:sz w:val="20"/>
                <w:szCs w:val="20"/>
              </w:rPr>
              <w:t xml:space="preserve">1. </w:t>
            </w:r>
          </w:p>
          <w:p>
            <w:pPr>
              <w:pBdr>
                <w:bottom w:val="single" w:color="CCCCCC" w:sz="1" w:space="1"/>
              </w:pBdr>
              <w:spacing w:after="280"/>
            </w:pPr>
            <w:r>
              <w:rPr>
                <w:rFonts w:ascii="Arial" w:cs="Arial" w:eastAsia="Arial" w:hAnsi="Arial"/>
                <w:color w:val="666666"/>
                <w:sz w:val="20"/>
                <w:szCs w:val="20"/>
              </w:rPr>
              <w:t xml:space="preserve">2. </w:t>
            </w:r>
          </w:p>
          <w:p>
            <w:pPr>
              <w:pBdr>
                <w:bottom w:val="single" w:color="CCCCCC" w:sz="1" w:space="1"/>
              </w:pBdr>
              <w:spacing w:after="280"/>
            </w:pPr>
            <w:r>
              <w:rPr>
                <w:rFonts w:ascii="Arial" w:cs="Arial" w:eastAsia="Arial" w:hAnsi="Arial"/>
                <w:color w:val="666666"/>
                <w:sz w:val="20"/>
                <w:szCs w:val="20"/>
              </w:rPr>
              <w:t xml:space="preserve">3. </w:t>
            </w:r>
          </w:p>
          <w:p>
            <w:pPr>
              <w:pBdr>
                <w:bottom w:val="single" w:color="CCCCCC" w:sz="1" w:space="1"/>
              </w:pBdr>
              <w:spacing w:after="280"/>
            </w:pPr>
            <w:r>
              <w:rPr>
                <w:rFonts w:ascii="Arial" w:cs="Arial" w:eastAsia="Arial" w:hAnsi="Arial"/>
                <w:color w:val="666666"/>
                <w:sz w:val="20"/>
                <w:szCs w:val="20"/>
              </w:rPr>
              <w:t xml:space="preserve">4. </w:t>
            </w:r>
          </w:p>
          <w:p>
            <w:pPr>
              <w:pBdr>
                <w:bottom w:val="single" w:color="CCCCCC" w:sz="1" w:space="1"/>
              </w:pBdr>
              <w:spacing w:after="280"/>
            </w:pPr>
            <w:r>
              <w:rPr>
                <w:rFonts w:ascii="Arial" w:cs="Arial" w:eastAsia="Arial" w:hAnsi="Arial"/>
                <w:color w:val="666666"/>
                <w:sz w:val="20"/>
                <w:szCs w:val="20"/>
              </w:rPr>
              <w:t xml:space="preserve">5. </w:t>
            </w:r>
          </w:p>
          <w:p>
            <w:pPr>
              <w:pBdr>
                <w:bottom w:val="single" w:color="CCCCCC" w:sz="1" w:space="1"/>
              </w:pBdr>
              <w:spacing w:after="280"/>
            </w:pPr>
            <w:r>
              <w:rPr>
                <w:rFonts w:ascii="Arial" w:cs="Arial" w:eastAsia="Arial" w:hAnsi="Arial"/>
                <w:color w:val="666666"/>
                <w:sz w:val="20"/>
                <w:szCs w:val="20"/>
              </w:rPr>
              <w:t xml:space="preserve">6. </w:t>
            </w:r>
          </w:p>
          <w:p>
            <w:pPr>
              <w:pBdr>
                <w:bottom w:val="single" w:color="CCCCCC" w:sz="1" w:space="1"/>
              </w:pBdr>
              <w:spacing w:after="280"/>
            </w:pPr>
            <w:r>
              <w:rPr>
                <w:rFonts w:ascii="Arial" w:cs="Arial" w:eastAsia="Arial" w:hAnsi="Arial"/>
                <w:color w:val="666666"/>
                <w:sz w:val="20"/>
                <w:szCs w:val="20"/>
              </w:rPr>
              <w:t xml:space="preserve">7. </w:t>
            </w:r>
          </w:p>
          <w:p>
            <w:pPr>
              <w:pBdr>
                <w:bottom w:val="single" w:color="CCCCCC" w:sz="1" w:space="1"/>
              </w:pBdr>
              <w:spacing w:after="280"/>
            </w:pPr>
            <w:r>
              <w:rPr>
                <w:rFonts w:ascii="Arial" w:cs="Arial" w:eastAsia="Arial" w:hAnsi="Arial"/>
                <w:color w:val="666666"/>
                <w:sz w:val="20"/>
                <w:szCs w:val="20"/>
              </w:rPr>
              <w:t xml:space="preserve">8. </w:t>
            </w:r>
          </w:p>
        </w:tc>
      </w:tr>
    </w:tbl>
    <w:p>
      <w:pPr>
        <w:spacing w:before="2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6"/>
              <w:left w:val="single" w:color="CCCCCC" w:sz="1"/>
              <w:bottom w:val="single" w:color="CCCCCC" w:sz="1"/>
              <w:right w:val="single" w:color="CCCCCC" w:sz="1"/>
            </w:tcBorders>
            <w:tcMar>
              <w:top w:type="dxa" w:w="120"/>
              <w:left w:type="dxa" w:w="200"/>
              <w:bottom w:type="dxa" w:w="120"/>
              <w:right w:type="dxa" w:w="200"/>
            </w:tcMar>
          </w:tcPr>
          <w:p>
            <w:pPr>
              <w:spacing w:after="100"/>
            </w:pPr>
            <w:r>
              <w:rPr>
                <w:rFonts w:ascii="Arial" w:cs="Arial" w:eastAsia="Arial" w:hAnsi="Arial"/>
                <w:b/>
                <w:bCs/>
                <w:color w:val="2E6B4F"/>
                <w:sz w:val="22"/>
                <w:szCs w:val="22"/>
              </w:rPr>
              <w:t xml:space="preserve">MY OUTER CIRCLE (Green Zone) — The life I am building:</w:t>
            </w:r>
          </w:p>
          <w:p>
            <w:pPr>
              <w:pBdr>
                <w:bottom w:val="single" w:color="CCCCCC" w:sz="1" w:space="1"/>
              </w:pBdr>
              <w:spacing w:after="280"/>
            </w:pPr>
            <w:r>
              <w:rPr>
                <w:rFonts w:ascii="Arial" w:cs="Arial" w:eastAsia="Arial" w:hAnsi="Arial"/>
                <w:color w:val="666666"/>
                <w:sz w:val="20"/>
                <w:szCs w:val="20"/>
              </w:rPr>
              <w:t xml:space="preserve">1. </w:t>
            </w:r>
          </w:p>
          <w:p>
            <w:pPr>
              <w:pBdr>
                <w:bottom w:val="single" w:color="CCCCCC" w:sz="1" w:space="1"/>
              </w:pBdr>
              <w:spacing w:after="280"/>
            </w:pPr>
            <w:r>
              <w:rPr>
                <w:rFonts w:ascii="Arial" w:cs="Arial" w:eastAsia="Arial" w:hAnsi="Arial"/>
                <w:color w:val="666666"/>
                <w:sz w:val="20"/>
                <w:szCs w:val="20"/>
              </w:rPr>
              <w:t xml:space="preserve">2. </w:t>
            </w:r>
          </w:p>
          <w:p>
            <w:pPr>
              <w:pBdr>
                <w:bottom w:val="single" w:color="CCCCCC" w:sz="1" w:space="1"/>
              </w:pBdr>
              <w:spacing w:after="280"/>
            </w:pPr>
            <w:r>
              <w:rPr>
                <w:rFonts w:ascii="Arial" w:cs="Arial" w:eastAsia="Arial" w:hAnsi="Arial"/>
                <w:color w:val="666666"/>
                <w:sz w:val="20"/>
                <w:szCs w:val="20"/>
              </w:rPr>
              <w:t xml:space="preserve">3. </w:t>
            </w:r>
          </w:p>
          <w:p>
            <w:pPr>
              <w:pBdr>
                <w:bottom w:val="single" w:color="CCCCCC" w:sz="1" w:space="1"/>
              </w:pBdr>
              <w:spacing w:after="280"/>
            </w:pPr>
            <w:r>
              <w:rPr>
                <w:rFonts w:ascii="Arial" w:cs="Arial" w:eastAsia="Arial" w:hAnsi="Arial"/>
                <w:color w:val="666666"/>
                <w:sz w:val="20"/>
                <w:szCs w:val="20"/>
              </w:rPr>
              <w:t xml:space="preserve">4. </w:t>
            </w:r>
          </w:p>
          <w:p>
            <w:pPr>
              <w:pBdr>
                <w:bottom w:val="single" w:color="CCCCCC" w:sz="1" w:space="1"/>
              </w:pBdr>
              <w:spacing w:after="280"/>
            </w:pPr>
            <w:r>
              <w:rPr>
                <w:rFonts w:ascii="Arial" w:cs="Arial" w:eastAsia="Arial" w:hAnsi="Arial"/>
                <w:color w:val="666666"/>
                <w:sz w:val="20"/>
                <w:szCs w:val="20"/>
              </w:rPr>
              <w:t xml:space="preserve">5. </w:t>
            </w:r>
          </w:p>
          <w:p>
            <w:pPr>
              <w:pBdr>
                <w:bottom w:val="single" w:color="CCCCCC" w:sz="1" w:space="1"/>
              </w:pBdr>
              <w:spacing w:after="280"/>
            </w:pPr>
            <w:r>
              <w:rPr>
                <w:rFonts w:ascii="Arial" w:cs="Arial" w:eastAsia="Arial" w:hAnsi="Arial"/>
                <w:color w:val="666666"/>
                <w:sz w:val="20"/>
                <w:szCs w:val="20"/>
              </w:rPr>
              <w:t xml:space="preserve">6. </w:t>
            </w:r>
          </w:p>
          <w:p>
            <w:pPr>
              <w:pBdr>
                <w:bottom w:val="single" w:color="CCCCCC" w:sz="1" w:space="1"/>
              </w:pBdr>
              <w:spacing w:after="280"/>
            </w:pPr>
            <w:r>
              <w:rPr>
                <w:rFonts w:ascii="Arial" w:cs="Arial" w:eastAsia="Arial" w:hAnsi="Arial"/>
                <w:color w:val="666666"/>
                <w:sz w:val="20"/>
                <w:szCs w:val="20"/>
              </w:rPr>
              <w:t xml:space="preserve">7. </w:t>
            </w:r>
          </w:p>
          <w:p>
            <w:pPr>
              <w:pBdr>
                <w:bottom w:val="single" w:color="CCCCCC" w:sz="1" w:space="1"/>
              </w:pBdr>
              <w:spacing w:after="280"/>
            </w:pPr>
            <w:r>
              <w:rPr>
                <w:rFonts w:ascii="Arial" w:cs="Arial" w:eastAsia="Arial" w:hAnsi="Arial"/>
                <w:color w:val="666666"/>
                <w:sz w:val="20"/>
                <w:szCs w:val="20"/>
              </w:rPr>
              <w:t xml:space="preserve">8. </w:t>
            </w:r>
          </w:p>
          <w:p>
            <w:pPr>
              <w:pBdr>
                <w:bottom w:val="single" w:color="CCCCCC" w:sz="1" w:space="1"/>
              </w:pBdr>
              <w:spacing w:after="280"/>
            </w:pPr>
            <w:r>
              <w:rPr>
                <w:rFonts w:ascii="Arial" w:cs="Arial" w:eastAsia="Arial" w:hAnsi="Arial"/>
                <w:color w:val="666666"/>
                <w:sz w:val="20"/>
                <w:szCs w:val="20"/>
              </w:rPr>
              <w:t xml:space="preserve">9. </w:t>
            </w:r>
          </w:p>
          <w:p>
            <w:pPr>
              <w:pBdr>
                <w:bottom w:val="single" w:color="CCCCCC" w:sz="1" w:space="1"/>
              </w:pBdr>
              <w:spacing w:after="280"/>
            </w:pPr>
            <w:r>
              <w:rPr>
                <w:rFonts w:ascii="Arial" w:cs="Arial" w:eastAsia="Arial" w:hAnsi="Arial"/>
                <w:color w:val="666666"/>
                <w:sz w:val="20"/>
                <w:szCs w:val="20"/>
              </w:rPr>
              <w:t xml:space="preserve">10. </w:t>
            </w:r>
          </w:p>
        </w:tc>
      </w:tr>
    </w:tbl>
    <w:p>
      <w:pPr>
        <w:spacing w:before="300"/>
      </w:pPr>
    </w:p>
    <w:p>
      <w:pPr>
        <w:pStyle w:val="Heading2"/>
      </w:pPr>
      <w:r>
        <w:rPr>
          <w:rFonts w:ascii="Arial" w:cs="Arial" w:eastAsia="Arial" w:hAnsi="Arial"/>
        </w:rPr>
        <w:t xml:space="preserve">Three Circles Reflection</w:t>
      </w:r>
    </w:p>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Look at your middle circle. Are there any behaviors currently in your middle circle that honestly belong in your inner circle — behaviors you’ve kept in yellow because putting them in red would mean admitting your sobriety isn’t as strong as you thought? Be ruthlessly honest: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Are there any behaviors you left out entirely — things you do that you know are risky but that you didn’t write down because seeing them on paper makes them too real? Write them now:</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Look at your outer circle. Is it robust enough to sustain you? A thin outer circle (only 2-3 healthy practices) leaves very little buffer between normal life and the middle circle. What healthy behaviors could you add to build a thicker green zone?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HALT+BS — YOUR VULNERABILITY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“Watch and pray so that you will not fall into temptation. The spirit is willing, but the flesh is weak.”</w:t>
            </w:r>
          </w:p>
          <w:p>
            <w:pPr>
              <w:jc w:val="right"/>
            </w:pPr>
            <w:r>
              <w:rPr>
                <w:rFonts w:ascii="Arial" w:cs="Arial" w:eastAsia="Arial" w:hAnsi="Arial"/>
                <w:color w:val="2E7D8C"/>
                <w:sz w:val="18"/>
                <w:szCs w:val="18"/>
              </w:rPr>
              <w:t xml:space="preserve">— Matthew 26:41</w:t>
            </w:r>
          </w:p>
        </w:tc>
      </w:tr>
    </w:tbl>
    <w:p>
      <w:pPr>
        <w:spacing w:before="200"/>
      </w:pPr>
    </w:p>
    <w:p>
      <w:pPr>
        <w:spacing w:before="80" w:after="120" w:line="320"/>
      </w:pPr>
      <w:r>
        <w:rPr>
          <w:rFonts w:ascii="Arial" w:cs="Arial" w:eastAsia="Arial" w:hAnsi="Arial"/>
          <w:color w:val="333333"/>
          <w:sz w:val="22"/>
          <w:szCs w:val="22"/>
        </w:rPr>
        <w:t xml:space="preserve">The classic recovery acronym HALT identifies four states that dramatically increase vulnerability to temptation: Hungry, Angry, Lonely, Tired. Cusick expands this to include Bored and Stressed. When you are in any of these states, your defenses are lowered and your brain is scanning for relief — and it knows exactly where to find it.</w:t>
      </w:r>
    </w:p>
    <w:p>
      <w:pPr>
        <w:spacing w:before="80" w:after="120" w:line="320"/>
      </w:pPr>
      <w:r>
        <w:rPr>
          <w:rFonts w:ascii="Arial" w:cs="Arial" w:eastAsia="Arial" w:hAnsi="Arial"/>
          <w:color w:val="333333"/>
          <w:sz w:val="22"/>
          <w:szCs w:val="22"/>
        </w:rPr>
        <w:t xml:space="preserve">The key insight is that </w:t>
      </w:r>
      <w:r>
        <w:rPr>
          <w:rFonts w:ascii="Arial" w:cs="Arial" w:eastAsia="Arial" w:hAnsi="Arial"/>
          <w:b/>
          <w:bCs/>
          <w:color w:val="333333"/>
          <w:sz w:val="22"/>
          <w:szCs w:val="22"/>
        </w:rPr>
        <w:t xml:space="preserve">these states are not triggers in themselves — they are the conditions under which triggers become irresistible.</w:t>
      </w:r>
      <w:r>
        <w:rPr>
          <w:rFonts w:ascii="Arial" w:cs="Arial" w:eastAsia="Arial" w:hAnsi="Arial"/>
          <w:color w:val="333333"/>
          <w:sz w:val="22"/>
          <w:szCs w:val="22"/>
        </w:rPr>
        <w:t xml:space="preserve"> A sexually suggestive image on a billboard has different power when you are rested, connected, and well-fed versus when you are exhausted, isolated, and starving. The image is the same. Your vulnerability is not.</w:t>
      </w:r>
    </w:p>
    <w:p>
      <w:pPr>
        <w:spacing w:before="200"/>
      </w:pPr>
    </w:p>
    <w:p>
      <w:pPr>
        <w:pStyle w:val="Heading2"/>
      </w:pPr>
      <w:r>
        <w:rPr>
          <w:rFonts w:ascii="Arial" w:cs="Arial" w:eastAsia="Arial" w:hAnsi="Arial"/>
        </w:rPr>
        <w:t xml:space="preserve">Your HALT+BS Assessment</w:t>
      </w:r>
    </w:p>
    <w:p>
      <w:pPr>
        <w:spacing w:before="100" w:after="200"/>
      </w:pPr>
      <w:r>
        <w:rPr>
          <w:rFonts w:ascii="Arial" w:cs="Arial" w:eastAsia="Arial" w:hAnsi="Arial"/>
          <w:i/>
          <w:iCs/>
          <w:color w:val="666666"/>
          <w:sz w:val="20"/>
          <w:szCs w:val="20"/>
        </w:rPr>
        <w:t xml:space="preserve">For each state, answer the question honestly and write your planned corrective action. This is your vulnerability playbook — the specific responses you will execute when you recognize you are in a weakened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360"/>
        <w:gridCol w:w="2600"/>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
            </w:r>
          </w:p>
        </w:tc>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STATE</w:t>
            </w:r>
          </w:p>
        </w:tc>
        <w:tc>
          <w:tcPr>
            <w:tcW w:type="dxa" w:w="4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SELF-CHECK QUESTION</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CORRECTIVE ACTION</w:t>
            </w:r>
          </w:p>
        </w:tc>
      </w:tr>
      <w:tr>
        <w:tc>
          <w:tcPr>
            <w:tcW w:type="dxa" w:w="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8"/>
                <w:szCs w:val="28"/>
              </w:rPr>
              <w:t xml:space="preserve">H</w:t>
            </w:r>
          </w:p>
        </w:tc>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Hungry</w:t>
            </w:r>
          </w:p>
        </w:tc>
        <w:tc>
          <w:tcPr>
            <w:tcW w:type="dxa" w:w="4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Have I eaten regular meals today? Am I physically depleted? Am I neglecting basic self-care?</w:t>
            </w:r>
          </w:p>
        </w:tc>
        <w:tc>
          <w:tcPr>
            <w:tcW w:type="dxa" w:w="2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8"/>
                <w:szCs w:val="28"/>
              </w:rPr>
              <w:t xml:space="preserve">A</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Angry</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Am I carrying anger I haven’t expressed? Am I resentful toward someone? Is there a conflict I’m avoiding?</w:t>
            </w:r>
          </w:p>
        </w:tc>
        <w:tc>
          <w:tcPr>
            <w:tcW w:type="dxa" w:w="2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8"/>
                <w:szCs w:val="28"/>
              </w:rPr>
              <w:t xml:space="preserve">L</w:t>
            </w:r>
          </w:p>
        </w:tc>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Lonely</w:t>
            </w:r>
          </w:p>
        </w:tc>
        <w:tc>
          <w:tcPr>
            <w:tcW w:type="dxa" w:w="4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Am I isolated? When was my last meaningful human connection? Have I been withdrawing?</w:t>
            </w:r>
          </w:p>
        </w:tc>
        <w:tc>
          <w:tcPr>
            <w:tcW w:type="dxa" w:w="2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8"/>
                <w:szCs w:val="28"/>
              </w:rPr>
              <w:t xml:space="preserve">T</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Tired</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Did I sleep enough last night? Am I running on fumes? Is my body telling me to rest?</w:t>
            </w:r>
          </w:p>
        </w:tc>
        <w:tc>
          <w:tcPr>
            <w:tcW w:type="dxa" w:w="2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8"/>
                <w:szCs w:val="28"/>
              </w:rPr>
              <w:t xml:space="preserve">B</w:t>
            </w:r>
          </w:p>
        </w:tc>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Bored</w:t>
            </w:r>
          </w:p>
        </w:tc>
        <w:tc>
          <w:tcPr>
            <w:tcW w:type="dxa" w:w="43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Am I restless with no purpose? Is my mind scanning for stimulation? Do I have too much unstructured time?</w:t>
            </w:r>
          </w:p>
        </w:tc>
        <w:tc>
          <w:tcPr>
            <w:tcW w:type="dxa" w:w="26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8"/>
                <w:szCs w:val="28"/>
              </w:rPr>
              <w:t xml:space="preserve">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Stressed</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Am I overwhelmed by responsibilities? Is anxiety driving my thoughts? Am I trying to do too much?</w:t>
            </w:r>
          </w:p>
        </w:tc>
        <w:tc>
          <w:tcPr>
            <w:tcW w:type="dxa" w:w="260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Which HALT+BS state are you most frequently in when temptation is strongest? Which state are you least likely to notice before it’s too late?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Design a daily HALT+BS check for yourself. When will you do it? (Morning? Midday? Before bed?) What will you do when you discover you’re in one of these states? Write a concrete plan: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YOUR PERSONAL TRIGGER MAP</w:t>
      </w:r>
    </w:p>
    <w:p>
      <w:pPr>
        <w:spacing w:before="80" w:after="120" w:line="320"/>
      </w:pPr>
      <w:r>
        <w:rPr>
          <w:rFonts w:ascii="Arial" w:cs="Arial" w:eastAsia="Arial" w:hAnsi="Arial"/>
          <w:color w:val="333333"/>
          <w:sz w:val="22"/>
          <w:szCs w:val="22"/>
        </w:rPr>
        <w:t xml:space="preserve">Triggers are the specific stimuli — internal or external — that activate the preoccupation phase of the addiction cycle. They are unique to each person. Understanding your triggers with precision allows you to anticipate and prepare rather than react and fail.</w:t>
      </w:r>
    </w:p>
    <w:p>
      <w:pPr>
        <w:spacing w:before="200"/>
      </w:pPr>
    </w:p>
    <w:p>
      <w:pPr>
        <w:pStyle w:val="Heading2"/>
      </w:pPr>
      <w:r>
        <w:rPr>
          <w:rFonts w:ascii="Arial" w:cs="Arial" w:eastAsia="Arial" w:hAnsi="Arial"/>
        </w:rPr>
        <w:t xml:space="preserve">Trigger Inventory</w:t>
      </w:r>
    </w:p>
    <w:p>
      <w:pPr>
        <w:spacing w:before="100" w:after="200"/>
      </w:pPr>
      <w:r>
        <w:rPr>
          <w:rFonts w:ascii="Arial" w:cs="Arial" w:eastAsia="Arial" w:hAnsi="Arial"/>
          <w:i/>
          <w:iCs/>
          <w:color w:val="666666"/>
          <w:sz w:val="20"/>
          <w:szCs w:val="20"/>
        </w:rPr>
        <w:t xml:space="preserve">Map your triggers across six categories. For each one you identify, note when it typically occurs and what you will do when you encounter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CATEGORY</w:t>
            </w:r>
          </w:p>
        </w:tc>
        <w:tc>
          <w:tcPr>
            <w:tcW w:type="dxa" w:w="4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SPECIFIC TRIGGERS</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RESPONSE PLAN</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60"/>
            </w:pPr>
            <w:r>
              <w:rPr>
                <w:rFonts w:ascii="Arial" w:cs="Arial" w:eastAsia="Arial" w:hAnsi="Arial"/>
                <w:b/>
                <w:bCs/>
                <w:color w:val="1B3A5C"/>
                <w:sz w:val="19"/>
                <w:szCs w:val="19"/>
              </w:rPr>
              <w:t xml:space="preserve">Emotional</w:t>
            </w:r>
          </w:p>
          <w:p>
            <w:pPr>
              <w:spacing w:line="260"/>
            </w:pPr>
            <w:r>
              <w:rPr>
                <w:rFonts w:ascii="Arial" w:cs="Arial" w:eastAsia="Arial" w:hAnsi="Arial"/>
                <w:i/>
                <w:iCs/>
                <w:color w:val="666666"/>
                <w:sz w:val="17"/>
                <w:szCs w:val="17"/>
              </w:rPr>
              <w:t xml:space="preserve">(feelings that activate preoccupation)</w:t>
            </w:r>
          </w:p>
        </w:tc>
        <w:tc>
          <w:tcPr>
            <w:tcW w:type="dxa" w:w="4360"/>
            <w:tcBorders>
              <w:top w:val="single" w:color="CCCCCC" w:sz="1"/>
              <w:left w:val="single" w:color="CCCCCC" w:sz="1"/>
              <w:bottom w:val="single" w:color="CCCCCC" w:sz="1"/>
              <w:right w:val="single" w:color="CCCCCC" w:sz="1"/>
            </w:tcBorders>
            <w:shd w:fill="F5F0EB" w:val="clear"/>
            <w:tcMar>
              <w:top w:type="dxa" w:w="150"/>
              <w:left w:type="dxa" w:w="150"/>
              <w:bottom w:type="dxa" w:w="300"/>
              <w:right w:type="dxa" w:w="150"/>
            </w:tcMar>
          </w:tcPr>
          <w:p>
            <w:pPr>
              <w:spacing w:after="40"/>
            </w:pPr>
            <w:r>
              <w:rPr>
                <w:rFonts w:ascii="Arial" w:cs="Arial" w:eastAsia="Arial" w:hAnsi="Arial"/>
                <w:i/>
                <w:iCs/>
                <w:color w:val="666666"/>
                <w:sz w:val="17"/>
                <w:szCs w:val="17"/>
              </w:rPr>
              <w:t xml:space="preserve">Examples: loneliness, rejection, boredom, stress, anger, celebration, shame</w:t>
            </w:r>
          </w:p>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shd w:fill="F5F0EB" w:val="clear"/>
            <w:tcMar>
              <w:top w:type="dxa" w:w="150"/>
              <w:left w:type="dxa" w:w="150"/>
              <w:bottom w:type="dxa" w:w="3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1B3A5C"/>
                <w:sz w:val="19"/>
                <w:szCs w:val="19"/>
              </w:rPr>
              <w:t xml:space="preserve">Environmental</w:t>
            </w:r>
          </w:p>
          <w:p>
            <w:pPr>
              <w:spacing w:line="260"/>
            </w:pPr>
            <w:r>
              <w:rPr>
                <w:rFonts w:ascii="Arial" w:cs="Arial" w:eastAsia="Arial" w:hAnsi="Arial"/>
                <w:i/>
                <w:iCs/>
                <w:color w:val="666666"/>
                <w:sz w:val="17"/>
                <w:szCs w:val="17"/>
              </w:rPr>
              <w:t xml:space="preserve">(places, situations, settings)</w:t>
            </w:r>
          </w:p>
        </w:tc>
        <w:tc>
          <w:tcPr>
            <w:tcW w:type="dxa" w:w="4360"/>
            <w:tcBorders>
              <w:top w:val="single" w:color="CCCCCC" w:sz="1"/>
              <w:left w:val="single" w:color="CCCCCC" w:sz="1"/>
              <w:bottom w:val="single" w:color="CCCCCC" w:sz="1"/>
              <w:right w:val="single" w:color="CCCCCC" w:sz="1"/>
            </w:tcBorders>
            <w:tcMar>
              <w:top w:type="dxa" w:w="150"/>
              <w:left w:type="dxa" w:w="150"/>
              <w:bottom w:type="dxa" w:w="300"/>
              <w:right w:type="dxa" w:w="150"/>
            </w:tcMar>
          </w:tcPr>
          <w:p>
            <w:pPr>
              <w:spacing w:after="40"/>
            </w:pPr>
            <w:r>
              <w:rPr>
                <w:rFonts w:ascii="Arial" w:cs="Arial" w:eastAsia="Arial" w:hAnsi="Arial"/>
                <w:i/>
                <w:iCs/>
                <w:color w:val="666666"/>
                <w:sz w:val="17"/>
                <w:szCs w:val="17"/>
              </w:rPr>
              <w:t xml:space="preserve">Examples: hotel rooms, late nights alone, business travel, specific rooms, certain stores or neighborhoods</w:t>
            </w:r>
          </w:p>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150"/>
              <w:left w:type="dxa" w:w="150"/>
              <w:bottom w:type="dxa" w:w="3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60"/>
            </w:pPr>
            <w:r>
              <w:rPr>
                <w:rFonts w:ascii="Arial" w:cs="Arial" w:eastAsia="Arial" w:hAnsi="Arial"/>
                <w:b/>
                <w:bCs/>
                <w:color w:val="1B3A5C"/>
                <w:sz w:val="19"/>
                <w:szCs w:val="19"/>
              </w:rPr>
              <w:t xml:space="preserve">Relational</w:t>
            </w:r>
          </w:p>
          <w:p>
            <w:pPr>
              <w:spacing w:line="260"/>
            </w:pPr>
            <w:r>
              <w:rPr>
                <w:rFonts w:ascii="Arial" w:cs="Arial" w:eastAsia="Arial" w:hAnsi="Arial"/>
                <w:i/>
                <w:iCs/>
                <w:color w:val="666666"/>
                <w:sz w:val="17"/>
                <w:szCs w:val="17"/>
              </w:rPr>
              <w:t xml:space="preserve">(interactions that create vulnerability)</w:t>
            </w:r>
          </w:p>
        </w:tc>
        <w:tc>
          <w:tcPr>
            <w:tcW w:type="dxa" w:w="4360"/>
            <w:tcBorders>
              <w:top w:val="single" w:color="CCCCCC" w:sz="1"/>
              <w:left w:val="single" w:color="CCCCCC" w:sz="1"/>
              <w:bottom w:val="single" w:color="CCCCCC" w:sz="1"/>
              <w:right w:val="single" w:color="CCCCCC" w:sz="1"/>
            </w:tcBorders>
            <w:shd w:fill="F5F0EB" w:val="clear"/>
            <w:tcMar>
              <w:top w:type="dxa" w:w="150"/>
              <w:left w:type="dxa" w:w="150"/>
              <w:bottom w:type="dxa" w:w="300"/>
              <w:right w:type="dxa" w:w="150"/>
            </w:tcMar>
          </w:tcPr>
          <w:p>
            <w:pPr>
              <w:spacing w:after="40"/>
            </w:pPr>
            <w:r>
              <w:rPr>
                <w:rFonts w:ascii="Arial" w:cs="Arial" w:eastAsia="Arial" w:hAnsi="Arial"/>
                <w:i/>
                <w:iCs/>
                <w:color w:val="666666"/>
                <w:sz w:val="17"/>
                <w:szCs w:val="17"/>
              </w:rPr>
              <w:t xml:space="preserve">Examples: conflict with spouse, feeling unappreciated, attractive coworker, social rejection, family gatherings</w:t>
            </w:r>
          </w:p>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shd w:fill="F5F0EB" w:val="clear"/>
            <w:tcMar>
              <w:top w:type="dxa" w:w="150"/>
              <w:left w:type="dxa" w:w="150"/>
              <w:bottom w:type="dxa" w:w="3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1B3A5C"/>
                <w:sz w:val="19"/>
                <w:szCs w:val="19"/>
              </w:rPr>
              <w:t xml:space="preserve">Digital</w:t>
            </w:r>
          </w:p>
          <w:p>
            <w:pPr>
              <w:spacing w:line="260"/>
            </w:pPr>
            <w:r>
              <w:rPr>
                <w:rFonts w:ascii="Arial" w:cs="Arial" w:eastAsia="Arial" w:hAnsi="Arial"/>
                <w:i/>
                <w:iCs/>
                <w:color w:val="666666"/>
                <w:sz w:val="17"/>
                <w:szCs w:val="17"/>
              </w:rPr>
              <w:t xml:space="preserve">(technology-related triggers)</w:t>
            </w:r>
          </w:p>
        </w:tc>
        <w:tc>
          <w:tcPr>
            <w:tcW w:type="dxa" w:w="4360"/>
            <w:tcBorders>
              <w:top w:val="single" w:color="CCCCCC" w:sz="1"/>
              <w:left w:val="single" w:color="CCCCCC" w:sz="1"/>
              <w:bottom w:val="single" w:color="CCCCCC" w:sz="1"/>
              <w:right w:val="single" w:color="CCCCCC" w:sz="1"/>
            </w:tcBorders>
            <w:tcMar>
              <w:top w:type="dxa" w:w="150"/>
              <w:left w:type="dxa" w:w="150"/>
              <w:bottom w:type="dxa" w:w="300"/>
              <w:right w:type="dxa" w:w="150"/>
            </w:tcMar>
          </w:tcPr>
          <w:p>
            <w:pPr>
              <w:spacing w:after="40"/>
            </w:pPr>
            <w:r>
              <w:rPr>
                <w:rFonts w:ascii="Arial" w:cs="Arial" w:eastAsia="Arial" w:hAnsi="Arial"/>
                <w:i/>
                <w:iCs/>
                <w:color w:val="666666"/>
                <w:sz w:val="17"/>
                <w:szCs w:val="17"/>
              </w:rPr>
              <w:t xml:space="preserve">Examples: social media browsing, specific apps, YouTube rabbit holes, news sites with suggestive content, being alone with a phone</w:t>
            </w:r>
          </w:p>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150"/>
              <w:left w:type="dxa" w:w="150"/>
              <w:bottom w:type="dxa" w:w="3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after="60"/>
            </w:pPr>
            <w:r>
              <w:rPr>
                <w:rFonts w:ascii="Arial" w:cs="Arial" w:eastAsia="Arial" w:hAnsi="Arial"/>
                <w:b/>
                <w:bCs/>
                <w:color w:val="1B3A5C"/>
                <w:sz w:val="19"/>
                <w:szCs w:val="19"/>
              </w:rPr>
              <w:t xml:space="preserve">Physical</w:t>
            </w:r>
          </w:p>
          <w:p>
            <w:pPr>
              <w:spacing w:line="260"/>
            </w:pPr>
            <w:r>
              <w:rPr>
                <w:rFonts w:ascii="Arial" w:cs="Arial" w:eastAsia="Arial" w:hAnsi="Arial"/>
                <w:i/>
                <w:iCs/>
                <w:color w:val="666666"/>
                <w:sz w:val="17"/>
                <w:szCs w:val="17"/>
              </w:rPr>
              <w:t xml:space="preserve">(body states that lower defenses)</w:t>
            </w:r>
          </w:p>
        </w:tc>
        <w:tc>
          <w:tcPr>
            <w:tcW w:type="dxa" w:w="4360"/>
            <w:tcBorders>
              <w:top w:val="single" w:color="CCCCCC" w:sz="1"/>
              <w:left w:val="single" w:color="CCCCCC" w:sz="1"/>
              <w:bottom w:val="single" w:color="CCCCCC" w:sz="1"/>
              <w:right w:val="single" w:color="CCCCCC" w:sz="1"/>
            </w:tcBorders>
            <w:shd w:fill="F5F0EB" w:val="clear"/>
            <w:tcMar>
              <w:top w:type="dxa" w:w="150"/>
              <w:left w:type="dxa" w:w="150"/>
              <w:bottom w:type="dxa" w:w="300"/>
              <w:right w:type="dxa" w:w="150"/>
            </w:tcMar>
          </w:tcPr>
          <w:p>
            <w:pPr>
              <w:spacing w:after="40"/>
            </w:pPr>
            <w:r>
              <w:rPr>
                <w:rFonts w:ascii="Arial" w:cs="Arial" w:eastAsia="Arial" w:hAnsi="Arial"/>
                <w:i/>
                <w:iCs/>
                <w:color w:val="666666"/>
                <w:sz w:val="17"/>
                <w:szCs w:val="17"/>
              </w:rPr>
              <w:t xml:space="preserve">Examples: exhaustion, illness, alcohol consumption, physical arousal from non-sexual sources, adrenaline from exercise</w:t>
            </w:r>
          </w:p>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shd w:fill="F5F0EB" w:val="clear"/>
            <w:tcMar>
              <w:top w:type="dxa" w:w="150"/>
              <w:left w:type="dxa" w:w="150"/>
              <w:bottom w:type="dxa" w:w="3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1B3A5C"/>
                <w:sz w:val="19"/>
                <w:szCs w:val="19"/>
              </w:rPr>
              <w:t xml:space="preserve">Temporal</w:t>
            </w:r>
          </w:p>
          <w:p>
            <w:pPr>
              <w:spacing w:line="260"/>
            </w:pPr>
            <w:r>
              <w:rPr>
                <w:rFonts w:ascii="Arial" w:cs="Arial" w:eastAsia="Arial" w:hAnsi="Arial"/>
                <w:i/>
                <w:iCs/>
                <w:color w:val="666666"/>
                <w:sz w:val="17"/>
                <w:szCs w:val="17"/>
              </w:rPr>
              <w:t xml:space="preserve">(time-based patterns)</w:t>
            </w:r>
          </w:p>
        </w:tc>
        <w:tc>
          <w:tcPr>
            <w:tcW w:type="dxa" w:w="4360"/>
            <w:tcBorders>
              <w:top w:val="single" w:color="CCCCCC" w:sz="1"/>
              <w:left w:val="single" w:color="CCCCCC" w:sz="1"/>
              <w:bottom w:val="single" w:color="CCCCCC" w:sz="1"/>
              <w:right w:val="single" w:color="CCCCCC" w:sz="1"/>
            </w:tcBorders>
            <w:tcMar>
              <w:top w:type="dxa" w:w="150"/>
              <w:left w:type="dxa" w:w="150"/>
              <w:bottom w:type="dxa" w:w="300"/>
              <w:right w:type="dxa" w:w="150"/>
            </w:tcMar>
          </w:tcPr>
          <w:p>
            <w:pPr>
              <w:spacing w:after="40"/>
            </w:pPr>
            <w:r>
              <w:rPr>
                <w:rFonts w:ascii="Arial" w:cs="Arial" w:eastAsia="Arial" w:hAnsi="Arial"/>
                <w:i/>
                <w:iCs/>
                <w:color w:val="666666"/>
                <w:sz w:val="17"/>
                <w:szCs w:val="17"/>
              </w:rPr>
              <w:t xml:space="preserve">Examples: late night (after 10 PM), Sunday afternoons, during work travel, holidays, seasonal depression, anniversary of a painful event</w:t>
            </w:r>
          </w:p>
          <w:p>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tcMar>
              <w:top w:type="dxa" w:w="150"/>
              <w:left w:type="dxa" w:w="150"/>
              <w:bottom w:type="dxa" w:w="3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Look at your trigger map. Which category has the most entries? What does that tell you about your primary vulnerability?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Identify your top three highest-risk triggers — the specific situations most likely to activate your addiction cycle. For each one, write a specific, pre-decided response that you will execute immediately. Not “I’ll try to resist” — a concrete action:</w:t>
      </w:r>
    </w:p>
    <w:p>
      <w:pPr>
        <w:spacing w:before="200" w:after="80"/>
      </w:pPr>
      <w:r>
        <w:rPr>
          <w:rFonts w:ascii="Arial" w:cs="Arial" w:eastAsia="Arial" w:hAnsi="Arial"/>
          <w:i/>
          <w:iCs/>
          <w:color w:val="666666"/>
          <w:sz w:val="20"/>
          <w:szCs w:val="20"/>
        </w:rPr>
        <w:t xml:space="preserve">Trigger 1: _________________________ My response: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Trigger 2: _________________________ My response: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Trigger 3: _________________________ My response: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AROUSAL TEMPLATE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“Search me, God, and know my heart; test me and know my anxious thoughts. See if there is any offensive way in me, and lead me in the way everlasting.”</w:t>
            </w:r>
          </w:p>
          <w:p>
            <w:pPr>
              <w:jc w:val="right"/>
            </w:pPr>
            <w:r>
              <w:rPr>
                <w:rFonts w:ascii="Arial" w:cs="Arial" w:eastAsia="Arial" w:hAnsi="Arial"/>
                <w:color w:val="2E7D8C"/>
                <w:sz w:val="18"/>
                <w:szCs w:val="18"/>
              </w:rPr>
              <w:t xml:space="preserve">— Psalm 139:23–24</w:t>
            </w:r>
          </w:p>
        </w:tc>
      </w:tr>
    </w:tbl>
    <w:p>
      <w:pPr>
        <w:spacing w:before="200"/>
      </w:pPr>
    </w:p>
    <w:p>
      <w:pPr>
        <w:spacing w:before="80" w:after="120" w:line="320"/>
      </w:pPr>
      <w:r>
        <w:rPr>
          <w:rFonts w:ascii="Arial" w:cs="Arial" w:eastAsia="Arial" w:hAnsi="Arial"/>
          <w:color w:val="333333"/>
          <w:sz w:val="22"/>
          <w:szCs w:val="22"/>
        </w:rPr>
        <w:t xml:space="preserve">Carnes identifies the arousal template as the total constellation of thoughts, images, behaviors, sounds, and sensory experiences that arouse a person sexually. Much of this template was formed in childhood (ages 5–8) and shaped by experiences the person may not consciously remember — family dynamics, media exposure, early sexual experiences, and trauma.</w:t>
      </w:r>
    </w:p>
    <w:p>
      <w:pPr>
        <w:spacing w:before="80" w:after="120" w:line="320"/>
      </w:pPr>
      <w:r>
        <w:rPr>
          <w:rFonts w:ascii="Arial" w:cs="Arial" w:eastAsia="Arial" w:hAnsi="Arial"/>
          <w:color w:val="333333"/>
          <w:sz w:val="22"/>
          <w:szCs w:val="22"/>
        </w:rPr>
        <w:t xml:space="preserve">Understanding your arousal template — with the help of a therapist — reveals </w:t>
      </w:r>
      <w:r>
        <w:rPr>
          <w:rFonts w:ascii="Arial" w:cs="Arial" w:eastAsia="Arial" w:hAnsi="Arial"/>
          <w:b/>
          <w:bCs/>
          <w:color w:val="333333"/>
          <w:sz w:val="22"/>
          <w:szCs w:val="22"/>
        </w:rPr>
        <w:t xml:space="preserve">why you are drawn to the specific content or behaviors that characterize your addiction.</w:t>
      </w:r>
      <w:r>
        <w:rPr>
          <w:rFonts w:ascii="Arial" w:cs="Arial" w:eastAsia="Arial" w:hAnsi="Arial"/>
          <w:color w:val="333333"/>
          <w:sz w:val="22"/>
          <w:szCs w:val="22"/>
        </w:rPr>
        <w:t xml:space="preserve"> This understanding doesn’t justify the behavior, but it demystifies it, stripping it of the power that comes from being inexplicable. When you understand why you are drawn to what you’re drawn to, the behavior loses its mysterious hold and becomes something you can address with clinical precision.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B2500"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8B2500"/>
                <w:sz w:val="20"/>
                <w:szCs w:val="20"/>
              </w:rPr>
              <w:t xml:space="preserve">IMPORTANT</w:t>
            </w:r>
          </w:p>
          <w:p>
            <w:pPr>
              <w:spacing w:line="300"/>
            </w:pPr>
            <w:r>
              <w:rPr>
                <w:rFonts w:ascii="Arial" w:cs="Arial" w:eastAsia="Arial" w:hAnsi="Arial"/>
                <w:color w:val="444444"/>
                <w:sz w:val="20"/>
                <w:szCs w:val="20"/>
              </w:rPr>
              <w:t xml:space="preserve">Arousal template work is deep therapeutic material that is best explored with a licensed counselor or CSAT. The questions below introduce the concept and begin your awareness. They are not a substitute for therapeutic exploration. If any of these questions activate strong emotional or physiological responses, stop and bring this material to your therapist.</w:t>
            </w:r>
          </w:p>
        </w:tc>
      </w:tr>
    </w:tbl>
    <w:p>
      <w:pPr>
        <w:spacing w:before="200"/>
      </w:pPr>
    </w:p>
    <w:p>
      <w:pPr>
        <w:pStyle w:val="Heading2"/>
      </w:pPr>
      <w:r>
        <w:rPr>
          <w:rFonts w:ascii="Arial" w:cs="Arial" w:eastAsia="Arial" w:hAnsi="Arial"/>
        </w:rPr>
        <w:t xml:space="preserve">Beginning to Understand Your Template</w:t>
      </w:r>
    </w:p>
    <w:p>
      <w:pPr>
        <w:spacing w:before="100" w:after="200"/>
      </w:pPr>
      <w:r>
        <w:rPr>
          <w:rFonts w:ascii="Arial" w:cs="Arial" w:eastAsia="Arial" w:hAnsi="Arial"/>
          <w:i/>
          <w:iCs/>
          <w:color w:val="666666"/>
          <w:sz w:val="20"/>
          <w:szCs w:val="20"/>
        </w:rPr>
        <w:t xml:space="preserve">These questions begin the process of arousal template awareness. Answer what you can. Mark “For therapist” on any question that feels too activating to explore alone.</w:t>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Without being graphic, are there specific themes or scenarios that consistently characterize your sexual fantasies or the content you seek out? (Examples of themes: power, submission, novelty, forbidden-ness, tenderness, aggression, anonymity, being desired, being in control, being out of control.) Name the themes: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Jay Stringer’s research found that the specific content of sexual fantasies is connected to unaddressed wounds. Looking at the themes you identified above, can you trace any of them back to a childhood experience or family dynamic? For example: a theme of being desired might connect to childhood emotional neglect. A theme of power might connect to feeling powerless as a child. What connections do you notice?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Carnes teaches that the arousal template is not fixed — it can be reshaped. What would a healthy arousal template look like for you? What elements would remain? What elements need to be grieved and released?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YOUR INTEGRATED DEFENSE SYSTEM</w:t>
      </w:r>
    </w:p>
    <w:p>
      <w:pPr>
        <w:spacing w:before="80" w:after="120" w:line="320"/>
      </w:pPr>
      <w:r>
        <w:rPr>
          <w:rFonts w:ascii="Arial" w:cs="Arial" w:eastAsia="Arial" w:hAnsi="Arial"/>
          <w:color w:val="333333"/>
          <w:sz w:val="22"/>
          <w:szCs w:val="22"/>
        </w:rPr>
        <w:t xml:space="preserve">You now have four tactical tools: Three Circles (behavioral boundaries), HALT+BS (vulnerability awareness), Trigger Mapping (anticipation of specific risks), and Arousal Template Awareness (understanding what drives the specific pull). The final step is integrating these into a single, coherent defense system that you can deploy in real time.</w:t>
      </w:r>
    </w:p>
    <w:p>
      <w:pPr>
        <w:spacing w:before="200"/>
      </w:pPr>
    </w:p>
    <w:p>
      <w:pPr>
        <w:pStyle w:val="Heading2"/>
      </w:pPr>
      <w:r>
        <w:rPr>
          <w:rFonts w:ascii="Arial" w:cs="Arial" w:eastAsia="Arial" w:hAnsi="Arial"/>
        </w:rPr>
        <w:t xml:space="preserve">Your Defense Playbook</w:t>
      </w:r>
    </w:p>
    <w:p>
      <w:pPr>
        <w:spacing w:before="100" w:after="200"/>
      </w:pPr>
      <w:r>
        <w:rPr>
          <w:rFonts w:ascii="Arial" w:cs="Arial" w:eastAsia="Arial" w:hAnsi="Arial"/>
          <w:i/>
          <w:iCs/>
          <w:color w:val="666666"/>
          <w:sz w:val="20"/>
          <w:szCs w:val="20"/>
        </w:rPr>
        <w:t xml:space="preserve">Complete this playbook by connecting your tools. This becomes a reference document you can consult in moments of temptation.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SCENARIO</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DEFENSE PLAN (be specific enough to execute at 11 PM when exhausted)</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I notice I’m in a HALT+BS state</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 catch myself in a middle circle (yellow) behavior</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 known trigger fires (from my trigger map)</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I’m in my ritual sequence (from Ch. 3) and haven’t acted out yet</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I’ve acted out and I’m in the despair phase</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I’m traveling alone for work</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It’s late at night and I’m alone with my device</w:t>
            </w:r>
          </w:p>
        </w:tc>
        <w:tc>
          <w:tcPr>
            <w:tcW w:type="dxa" w:w="6160"/>
            <w:tcBorders>
              <w:top w:val="single" w:color="CCCCCC" w:sz="1"/>
              <w:left w:val="single" w:color="CCCCCC" w:sz="1"/>
              <w:bottom w:val="single" w:color="CCCCCC" w:sz="1"/>
              <w:right w:val="single" w:color="CCCCCC" w:sz="1"/>
            </w:tcBorders>
            <w:shd w:fill="F5F0EB" w:val="clear"/>
            <w:tcMar>
              <w:top w:type="dxa" w:w="300"/>
              <w:left w:type="dxa" w:w="150"/>
              <w:bottom w:type="dxa" w:w="3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I’ve had a conflict with my spouse and I’m angry</w:t>
            </w:r>
          </w:p>
        </w:tc>
        <w:tc>
          <w:tcPr>
            <w:tcW w:type="dxa" w:w="6160"/>
            <w:tcBorders>
              <w:top w:val="single" w:color="CCCCCC" w:sz="1"/>
              <w:left w:val="single" w:color="CCCCCC" w:sz="1"/>
              <w:bottom w:val="single" w:color="CCCCCC" w:sz="1"/>
              <w:right w:val="single" w:color="CCCCCC" w:sz="1"/>
            </w:tcBorders>
            <w:tcMar>
              <w:top w:type="dxa" w:w="300"/>
              <w:left w:type="dxa" w:w="150"/>
              <w:bottom w:type="dxa" w:w="3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Look at your defense playbook above. Is every response specific enough to actually execute? Could a stressed, tired, tempted version of you follow these instructions? If any feel vague, rewrite them now with brutal specificity: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What is the one scenario from the playbook above that you are most likely to face in the next 30 days? Walk through it mentally: the trigger fires, you recognize it, you execute your plan. Visualize each step. Write what you see: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YOUR SCRIPTURE BATTLE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“Take the helmet of salvation and the sword of the Spirit, which is the word of God.”</w:t>
            </w:r>
          </w:p>
          <w:p>
            <w:pPr>
              <w:jc w:val="right"/>
            </w:pPr>
            <w:r>
              <w:rPr>
                <w:rFonts w:ascii="Arial" w:cs="Arial" w:eastAsia="Arial" w:hAnsi="Arial"/>
                <w:color w:val="2E7D8C"/>
                <w:sz w:val="18"/>
                <w:szCs w:val="18"/>
              </w:rPr>
              <w:t xml:space="preserve">— Ephesians 6:17</w:t>
            </w:r>
          </w:p>
        </w:tc>
      </w:tr>
    </w:tbl>
    <w:p>
      <w:pPr>
        <w:spacing w:before="200"/>
      </w:pPr>
    </w:p>
    <w:p>
      <w:pPr>
        <w:spacing w:before="80" w:after="120" w:line="320"/>
      </w:pPr>
      <w:r>
        <w:rPr>
          <w:rFonts w:ascii="Arial" w:cs="Arial" w:eastAsia="Arial" w:hAnsi="Arial"/>
          <w:color w:val="333333"/>
          <w:sz w:val="22"/>
          <w:szCs w:val="22"/>
        </w:rPr>
        <w:t xml:space="preserve">Alcorn and Struthers both emphasize that memorized scripture is not a magic formula — it is a trained neurological response. When you have a verse ready, you are giving your brain an alternative pathway to follow when the old canyon pulls. The verse activates the prefrontal cortex and provides a conscious counterweight to the automatic pull of the dopamine system.</w:t>
      </w:r>
    </w:p>
    <w:p>
      <w:pPr>
        <w:spacing w:before="80" w:after="120" w:line="320"/>
      </w:pPr>
      <w:r>
        <w:rPr>
          <w:rFonts w:ascii="Arial" w:cs="Arial" w:eastAsia="Arial" w:hAnsi="Arial"/>
          <w:color w:val="333333"/>
          <w:sz w:val="22"/>
          <w:szCs w:val="22"/>
        </w:rPr>
        <w:t xml:space="preserve">Your scripture battle plan maps specific verses to specific vulnerabilities — so that when a particular trigger or emotional state hits, you already know which truth to speak into it.</w:t>
      </w:r>
    </w:p>
    <w:p>
      <w:pPr>
        <w:spacing w:before="200"/>
      </w:pPr>
    </w:p>
    <w:p>
      <w:pPr>
        <w:pStyle w:val="Heading2"/>
      </w:pPr>
      <w:r>
        <w:rPr>
          <w:rFonts w:ascii="Arial" w:cs="Arial" w:eastAsia="Arial" w:hAnsi="Arial"/>
        </w:rPr>
        <w:t xml:space="preserve">Battle Verses for Your Specific Triggers</w:t>
      </w:r>
    </w:p>
    <w:p>
      <w:pPr>
        <w:spacing w:before="100" w:after="200"/>
      </w:pPr>
      <w:r>
        <w:rPr>
          <w:rFonts w:ascii="Arial" w:cs="Arial" w:eastAsia="Arial" w:hAnsi="Arial"/>
          <w:i/>
          <w:iCs/>
          <w:color w:val="666666"/>
          <w:sz w:val="20"/>
          <w:szCs w:val="20"/>
        </w:rPr>
        <w:t xml:space="preserve">For each vulnerability, select or write a specific scripture you will memorize and deploy. Choose verses that speak directly to YOUR struggle, not generic “good 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WHEN I FEEL...</w:t>
            </w:r>
          </w:p>
        </w:tc>
        <w:tc>
          <w:tcPr>
            <w:tcW w:type="dxa" w:w="6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I WILL SPEAK THIS TRUTH:</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Tempted (the pull is strong)</w:t>
            </w:r>
          </w:p>
        </w:tc>
        <w:tc>
          <w:tcPr>
            <w:tcW w:type="dxa" w:w="6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Ashamed (after a failure)</w:t>
            </w:r>
          </w:p>
        </w:tc>
        <w:tc>
          <w:tcPr>
            <w:tcW w:type="dxa" w:w="6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Lonely (no one understands)</w:t>
            </w:r>
          </w:p>
        </w:tc>
        <w:tc>
          <w:tcPr>
            <w:tcW w:type="dxa" w:w="6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Angry (at spouse, God, life)</w:t>
            </w:r>
          </w:p>
        </w:tc>
        <w:tc>
          <w:tcPr>
            <w:tcW w:type="dxa" w:w="6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Hopeless (I’ll never change)</w:t>
            </w:r>
          </w:p>
        </w:tc>
        <w:tc>
          <w:tcPr>
            <w:tcW w:type="dxa" w:w="616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Entitled (“I deserve this”)</w:t>
            </w:r>
          </w:p>
        </w:tc>
        <w:tc>
          <w:tcPr>
            <w:tcW w:type="dxa" w:w="616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Which battle verse feels most important for where you are right now in recovery? Write it out in full and commit to memorizing it this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8 SUMMARY AND COMMITMENT</w:t>
      </w:r>
    </w:p>
    <w:p>
      <w:pPr>
        <w:pStyle w:val="Heading2"/>
      </w:pPr>
      <w:r>
        <w:rPr>
          <w:rFonts w:ascii="Arial" w:cs="Arial" w:eastAsia="Arial" w:hAnsi="Arial"/>
        </w:rPr>
        <w:t xml:space="preserve">My Defense System Summary</w:t>
      </w:r>
    </w:p>
    <w:p>
      <w:pPr>
        <w:spacing w:before="100" w:after="200"/>
      </w:pPr>
      <w:r>
        <w:rPr>
          <w:rFonts w:ascii="Arial" w:cs="Arial" w:eastAsia="Arial" w:hAnsi="Arial"/>
          <w:i/>
          <w:iCs/>
          <w:color w:val="666666"/>
          <w:sz w:val="20"/>
          <w:szCs w:val="20"/>
        </w:rPr>
        <w:t xml:space="preserve">Summarize the key outputs from this chapter:</w:t>
      </w:r>
    </w:p>
    <w:p>
      <w:pPr>
        <w:spacing w:before="200" w:after="80"/>
      </w:pPr>
      <w:r>
        <w:rPr>
          <w:rFonts w:ascii="Arial" w:cs="Arial" w:eastAsia="Arial" w:hAnsi="Arial"/>
          <w:i/>
          <w:iCs/>
          <w:color w:val="666666"/>
          <w:sz w:val="20"/>
          <w:szCs w:val="20"/>
        </w:rPr>
        <w:t xml:space="preserve">My most dangerous middle circle behavior is: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top three triggers are: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primary HALT+BS vulnerability is: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My go-to battle verse is: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Commitments</w:t>
      </w:r>
    </w:p>
    <w:p>
      <w:pPr>
        <w:spacing w:before="100" w:after="200"/>
      </w:pPr>
      <w:r>
        <w:rPr>
          <w:rFonts w:ascii="Arial" w:cs="Arial" w:eastAsia="Arial" w:hAnsi="Arial"/>
          <w:i/>
          <w:iCs/>
          <w:color w:val="666666"/>
          <w:sz w:val="20"/>
          <w:szCs w:val="20"/>
        </w:rPr>
        <w:t xml:space="preserve">Based on this chapter, commit to:</w:t>
      </w:r>
    </w:p>
    <w:p>
      <w:pPr>
        <w:spacing w:before="200" w:after="80"/>
      </w:pPr>
      <w:r>
        <w:rPr>
          <w:rFonts w:ascii="Arial" w:cs="Arial" w:eastAsia="Arial" w:hAnsi="Arial"/>
          <w:i/>
          <w:iCs/>
          <w:color w:val="666666"/>
          <w:sz w:val="20"/>
          <w:szCs w:val="20"/>
        </w:rPr>
        <w:t xml:space="preserve">I will review my Three Circles with my sponsor/counselor by: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I will do a daily HALT+BS check at: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I will memorize my battle verse by: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I will keep my defense playbook accessible (where?):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Share your Three Circles with your sponsor or counselor this week. Ask them: “Are there behaviors I’m keeping in yellow that you think belong in red?”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I’ve mapped the battlefield today. I know my red zones and my yellow zones. I know the states that make me vulnerable and the triggers that fire my cycle. I know the scenarios I’m most likely to face and the specific truths I need to speak into them. I am more prepared than I have ever been. But preparation without Your power is still not enough. So I ask You to fight with me. When the trigger fires and my brain floods with craving, be the voice that is louder. When I’m in the yellow zone and rationalizing my way toward red, be the hand that pulls me back. When I’m exhausted and alone and my defenses are crumbling, be the wall that holds. I cannot do this without You. I was never meant to.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9 — The Brain Can Change: Rewiring Through Sanctification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2026-04-02T04:23:05.456Z</dcterms:created>
  <dcterms:modified xsi:type="dcterms:W3CDTF">2026-04-02T04:23:05.457Z</dcterms:modified>
</cp:coreProperties>
</file>

<file path=docProps/custom.xml><?xml version="1.0" encoding="utf-8"?>
<Properties xmlns="http://schemas.openxmlformats.org/officeDocument/2006/custom-properties" xmlns:vt="http://schemas.openxmlformats.org/officeDocument/2006/docPropsVTypes"/>
</file>