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Native-audio (speech-to-speech) large language models collapse the recognition/generation/synthesis cascade into a single model with near-human turn-taking latency, but emit raw PCM with no phoneme timing — invalidating the established lip-sync toolchain: phoneme- and alignment-driven pipelines are non-causal, and learned audio-driven animation needs GPU budgets unavailable on consumer desktops. We formalize causal, phoneme-timing-free, CPU-budget lip synchronization and present </w:t>
      </w:r>
      <w:r>
        <w:rPr>
          <w:b/>
          <w:sz w:val="21"/>
        </w:rPr>
        <w:t>TranscriptionSync</w:t>
      </w:r>
      <w:r>
        <w:rPr>
          <w:sz w:val="21"/>
        </w:rPr>
        <w:t xml:space="preserve">, a training-free three-layer solution. Layer 1 recovers word timing from the output audio with a streaming recognizer; a </w:t>
      </w:r>
      <w:r>
        <w:rPr>
          <w:i/>
          <w:sz w:val="21"/>
        </w:rPr>
        <w:t>playout-buffer model</w:t>
      </w:r>
      <w:r>
        <w:rPr>
          <w:sz w:val="21"/>
        </w:rPr>
        <w:t xml:space="preserve"> converts its latency into a bounded, tunable response delay rather than desynchronization. Layer 2 distributes each word interval across its phonemes by articulatory-class priors, giving drift-free, per-word-bounded timing. Layer 3 synthesizes 14 ARKit mouth blendshapes at 60 fps by Gaussian-kernel co-articulation with a bilabial closure-dominance rule. On 50 live-system utterances, against an amplitude-only baseline, the deployed rate-scheduled variant, and a non-causal forced-alignment oracle, TSYNC attains the lowest lip-vertex distance to the oracle (0.461 vs. 0.520/0.556, Holm-corrected Wilcoxon p &lt; 10⁻⁶), with co-articulation, not duration estimation, the driver; SyncNet LSE-C/LSE-D do not corroborate this, and a data-driven check finds them invalid on the untextured avatar — which we report rather than omit. Layers 2–3 cost under 0.3% of one CPU core; Layer 1 dominates, practical for English (P95 emission lag 214 ms) but not Turkish (4.9 s) at the smallest model. On 6 000 GRID utterances Layer 2 reaches 18 ms phoneme-midpoint accuracy (below the ±45 ms detectability bound), composed accuracy is recognizer-bounded at 65 ms, and live word-start timing (86 ms) transfers from corpus to deployment. Since our one perceptual metric proved invalid here, the quality claim is geometric (LVD), pending a user study. The method ships inside A.T.L.A.S, a complete embodied desktop assistant on Gemini 2.5 Flash Native Audio.</w:t>
      </w:r>
    </w:p>
    <w:p>
      <w:pPr>
        <w:jc w:val="both"/>
      </w:pPr>
      <w:r>
        <w:rPr>
          <w:b/>
          <w:sz w:val="21"/>
        </w:rPr>
        <w:t>INDEX TERMS</w:t>
      </w:r>
      <w:r>
        <w:rPr>
          <w:sz w:val="21"/>
        </w:rPr>
        <w:t xml:space="preserve"> — ARKit blendshapes, embodied conversational agents, grapheme-to-phoneme conversion, large language models, lip synchronization, multimodal interaction, real-time facial animation, speech-to-speech models, viseme synthesis.</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our central </w:t>
      </w:r>
      <w:r>
        <w:rPr>
          <w:i/>
          <w:sz w:val="21"/>
        </w:rPr>
        <w:t>timing</w:t>
      </w:r>
      <w:r>
        <w:rPr>
          <w:sz w:val="21"/>
        </w:rPr>
        <w:t xml:space="preserve"> contribution, with a drift-free, per-word-bounded error property that free-running schedules lack; (iii) 60 fps synthesis of 14 ARKit mouth blendshapes by Gaussian-kernel co-articulation with closure-dominance protection — which our ablation (Section V-C) isolates as the dominant contributor to rendered geometric fidelity, ahead of duration estimation.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w:t>
      </w:r>
      <w:r>
        <w:rPr>
          <w:i/>
          <w:sz w:val="21"/>
        </w:rPr>
        <w:t>timing</w:t>
      </w:r>
      <w:r>
        <w:rPr>
          <w:sz w:val="21"/>
        </w:rPr>
        <w:t xml:space="preserve"> contribution of this paper — is </w:t>
      </w:r>
      <w:r>
        <w:rPr>
          <w:b/>
          <w:sz w:val="21"/>
        </w:rPr>
        <w:t>word-bounded phoneme duration estimation</w:t>
      </w:r>
      <w:r>
        <w:rPr>
          <w:sz w:val="21"/>
        </w:rPr>
        <w:t xml:space="preserve">: assigning each phoneme a duration within the known word interval T_i = t_i^e − t_i^s. (As Section V-C shows, this layer is what makes timing </w:t>
      </w:r>
      <w:r>
        <w:rPr>
          <w:i/>
          <w:sz w:val="21"/>
        </w:rPr>
        <w:t>drift-free</w:t>
      </w:r>
      <w:r>
        <w:rPr>
          <w:sz w:val="21"/>
        </w:rPr>
        <w:t>; the kernel co-articulation of Layer 3, not duration estimation, dominates rendered geometric fidelity.)</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Timing err. is the word-start MAE against MFA over content-matched tokens (same convention as Section V-D; recognizer insertions/deletions are discarded, not paired by position). Mean (SD) are reported here; per-contrast significance, effect sizes, and bootstrap 95% CIs are given in the running text.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86 (18)</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86 (18)</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86 (18)</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Live timing accuracy transfers from GRID.</w:t>
      </w:r>
      <w:r>
        <w:rPr>
          <w:sz w:val="21"/>
        </w:rPr>
        <w:t xml:space="preserve"> Measuring word-start error against the MFA reference on content-matched tokens — the protocol of Section V-D, which compares each recognized word to its aligned counterpart and discards recognizer insertions/deletions rather than pairing words by position — the live word-start MAE is 86 ms (SD 18; median 89 ms; mean token-match rate 85% against MFA), of the same order as the 65 ms composed accuracy measured on GRID (Section V-D). The controlled-corpus timing result therefore transfers to conversational live speech. The error decomposes into a per-utterance constant offset (median −65 ms — the speech-onset/leading-silence effect of Section IV-B, which the playout-buffer co-presentation (Eq. (3)) absorbs because audio and visemes carry it together) plus a 64 ms within-utterance residual; the constant component is the larger of the two but is the one the buffer cancels, so it does not contribute to perceived desynchronization, whereas the 64 ms residual is the component that actually reaches the viewer; both are consistent with the small rendered audio–visual lag (−52.7 ms) and the lowest LVD among the causal conditions reported above. We stress that this measurement </w:t>
      </w:r>
      <w:r>
        <w:rPr>
          <w:i/>
          <w:sz w:val="21"/>
        </w:rPr>
        <w:t>must</w:t>
      </w:r>
      <w:r>
        <w:rPr>
          <w:sz w:val="21"/>
        </w:rPr>
        <w:t xml:space="preserve"> use content-matched tokens: pairing predicted and reference words by sequence index instead — invalid under conversational ASR, where a single insertion or deletion shifts every subsequent word — inflates the apparent MAE by more than an order of magnitude and would reflect word-sequence misalignment, not articulation timing.</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(Figure 4).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We benchmark TranscriptionSync's three layers as standalone, component-wise modules on a commodity 4-core/8-thread x86_64 CPU, decoupled from the live Gemini Live integration (Section VI-B, Limitations, discusses the remaining live end-to-end instrumentation as future work).</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xml:space="preserve">,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in contrast to the negligible Layer-2/3 load of Section IV-E — Layer 1 is cheap in </w:t>
      </w:r>
      <w:r>
        <w:rPr>
          <w:i/>
          <w:sz w:val="21"/>
        </w:rPr>
        <w:t>latency</w:t>
      </w:r>
      <w:r>
        <w:rPr>
          <w:sz w:val="21"/>
        </w:rPr>
        <w:t xml:space="preserve"> but not in </w:t>
      </w:r>
      <w:r>
        <w:rPr>
          <w:i/>
          <w:sz w:val="21"/>
        </w:rPr>
        <w:t>occupancy</w:t>
      </w:r>
      <w:r>
        <w:rPr>
          <w:sz w:val="21"/>
        </w:rPr>
        <w:t>).</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(Figure 5)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sz w:val="21"/>
        </w:rPr>
        <w:t>We have not yet instrumented the full live voice-to-voice pipeline (T₀–T₃ of the original protocol, requiring Gemini Live API integration); this remains an open measurement, noted in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(Figure 6)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The lag distributions do not separate the two architectures — they are comparably wide (83 ± 237 ms vs. −8 ± 236 ms; the BiLSTM's near-zero </w:t>
      </w:r>
      <w:r>
        <w:rPr>
          <w:i/>
          <w:sz w:val="21"/>
        </w:rPr>
        <w:t>mean</w:t>
      </w:r>
      <w:r>
        <w:rPr>
          <w:sz w:val="21"/>
        </w:rPr>
        <w:t xml:space="preserve"> masks an essentially identical spread, so its lower mean reflects cancellation, not tighter locking) — so the velocity ratio is the discriminating signal here, and it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oracle-level </w:t>
      </w:r>
      <w:r>
        <w:rPr>
          <w:i/>
          <w:sz w:val="21"/>
        </w:rPr>
        <w:t>geometric fidelity</w:t>
      </w:r>
      <w:r>
        <w:rPr>
          <w:sz w:val="21"/>
        </w:rPr>
        <w:t xml:space="preserve">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claim is one of geometric proximity (LVD) only: because lip-sync quality is ultimately perceptual and our sole perceptual metric proved invalid on this avatar, we make no claim of demonstrated perceptual-quality improvement, which awaits the user study of Section VI-C.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live word-timing measured on content-matched tokens (86 ms, Section V-C) is of the same order as the 65 ms composed accuracy on GRID (Section V-D), so the controlled-corpus result transfers to conversational deployment; the dominant component is a per-utterance constant speech-onset offset (median −65 ms) that the playout-buffer co-presentation absorbs, leaving a 64 ms within-utterance residual as the perceptually relevant error. Per-utterance onset/silence handling and pause-aware buffering would further tighten </w:t>
      </w:r>
      <w:r>
        <w:rPr>
          <w:i/>
          <w:sz w:val="21"/>
        </w:rPr>
        <w:t>absolute</w:t>
      </w:r>
      <w:r>
        <w:rPr>
          <w:sz w:val="21"/>
        </w:rPr>
        <w:t xml:space="preserve"> live timestamps, but timing is no longer a dominant error source. We note that this conclusion is sensitive to evaluation methodology: word-timing error must be scored over content-matched tokens, since pairing recognized and reference words by position inflates the apparent error by over an order of magnitude under conversational ASR insertions/deletions. We have also not yet instrumented the full live voice-to-voice pipeline (T₀–T₃), so end-to-end latency under the actual Gemini Live integration remains unmeasured — Section V-E reports component-wise Layer 1-3 costs only.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 xml:space="preserve">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A further direction concerns content governance: the word-level transcription trace already produced by Layer 1 for lip synchronization could be reused, at no additional recognition cost, as the input to a downstream content-safety classifier, enabling moderation of the model's spoken output without a separate transcription stage; we note, however, that because this trace is derived </w:t>
      </w:r>
      <w:r>
        <w:rPr>
          <w:i/>
          <w:sz w:val="21"/>
        </w:rPr>
        <w:t>from</w:t>
      </w:r>
      <w:r>
        <w:rPr>
          <w:sz w:val="21"/>
        </w:rPr>
        <w:t xml:space="preserve"> the output audio rather than ahead of it, such moderation is reactive rather than preventive, and turning it into a buffer-gated preventive guardrail (using the same playout buffer of Eq. (3)) without inflating live latency remains an open problem.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