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collapse the recognition/generation/synthesis cascade into a single model with near-human turn-taking latency, but emit raw PCM with no phoneme timing — invalidating the established lip-sync toolchain: phoneme- and alignment-driven pipelines are non-causal, and learned audio-driven animation needs GPU budgets unavailable on consumer desktops. We formalize causal, phoneme-timing-free, CPU-budget lip synchronization and present </w:t>
      </w:r>
      <w:r>
        <w:rPr>
          <w:b/>
          <w:sz w:val="21"/>
        </w:rPr>
        <w:t>TranscriptionSync</w:t>
      </w:r>
      <w:r>
        <w:rPr>
          <w:sz w:val="21"/>
        </w:rPr>
        <w:t xml:space="preserve">, a training-free three-layer solution. Layer 1 recovers word timing from the output audio with a streaming recognizer; a </w:t>
      </w:r>
      <w:r>
        <w:rPr>
          <w:i/>
          <w:sz w:val="21"/>
        </w:rPr>
        <w:t>playout-buffer model</w:t>
      </w:r>
      <w:r>
        <w:rPr>
          <w:sz w:val="21"/>
        </w:rPr>
        <w:t xml:space="preserve"> converts its latency into a bounded, tunable response delay rather than desynchronization. Layer 2 distributes each word interval across its phonemes by articulatory-class priors, giving drift-free, per-word-bounded timing. Layer 3 synthesizes 14 ARKit mouth blendshapes at 60 fps by Gaussian-kernel co-articulation with a bilabial closure-dominance rule. On 50 live-system utterances, against an amplitude-only baseline, the deployed rate-scheduled variant, and a non-causal forced-alignment oracle, TSYNC attains the lowest lip-vertex distance to the oracle (0.461 vs. 0.520/0.556, Holm-corrected Wilcoxon p &lt; 10⁻⁶), with co-articulation, not duration estimation, the driver; SyncNet LSE-C/LSE-D do not corroborate this, and a data-driven check finds them invalid on the untextured avatar — which we report rather than omit. Layers 2–3 cost under 0.3% of one CPU core; Layer 1 dominates, practical for English (P95 lag 214 ms) but not Turkish (4.9 s) at the smallest model. On 6 000 GRID utterances Layer 2 reaches 18 ms phoneme-midpoint accuracy (below the ±45 ms detectability bound), composed accuracy is recognizer-bounded at 65 ms, and live word-start timing (86 ms) transfers from corpus to deployment. Since our one perceptual metric proved invalid here, the quality claim is geometric (LVD), pending a user study.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our central </w:t>
      </w:r>
      <w:r>
        <w:rPr>
          <w:i/>
          <w:sz w:val="21"/>
        </w:rPr>
        <w:t>timing</w:t>
      </w:r>
      <w:r>
        <w:rPr>
          <w:sz w:val="21"/>
        </w:rPr>
        <w:t xml:space="preserve"> contribution, with a drift-free, per-word-bounded error property that free-running schedules lack; (iii) 60 fps synthesis of 14 ARKit mouth blendshapes by Gaussian-kernel co-articulation with closure-dominance protection — which our ablation (Section V-C) isolates as the dominant contributor to rendered geometric fidelity, over duration estimation.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w:t>
      </w:r>
      <w:r>
        <w:rPr>
          <w:i/>
          <w:sz w:val="21"/>
        </w:rPr>
        <w:t>timing</w:t>
      </w:r>
      <w:r>
        <w:rPr>
          <w:sz w:val="21"/>
        </w:rPr>
        <w:t xml:space="preserve"> contribution of this paper — is </w:t>
      </w:r>
      <w:r>
        <w:rPr>
          <w:b/>
          <w:sz w:val="21"/>
        </w:rPr>
        <w:t>word-bounded phoneme duration estimation</w:t>
      </w:r>
      <w:r>
        <w:rPr>
          <w:sz w:val="21"/>
        </w:rPr>
        <w:t xml:space="preserve">: assigning each phoneme a duration within the known word interval T_i = t_i^e − t_i^s. (As Section V-C shows, this layer is what makes timing </w:t>
      </w:r>
      <w:r>
        <w:rPr>
          <w:i/>
          <w:sz w:val="21"/>
        </w:rPr>
        <w:t>drift-free</w:t>
      </w:r>
      <w:r>
        <w:rPr>
          <w:sz w:val="21"/>
        </w:rPr>
        <w:t>; the kernel co-articulation of Layer 3, not duration estimation, dominates rendered geometric fidelity.)</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lowest LVD among the causal conditions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We benchmark TranscriptionSync's three layers as standalone, component-wise modules on a commodity 4-core/8-thread x86_64 CPU, decoupled from the live Gemini Live integration (Section VI-B, Limitations, discusses the remaining live end-to-end instrumentation as future work).</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not the fractional load originally hypothesized in Section IV-E).</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sz w:val="21"/>
        </w:rPr>
        <w:t>We have not yet instrumented the full live voice-to-voice pipeline (T₀–T₃ of the original protocol, requiring Gemini Live API integration); this remains an open measurement, noted in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oracle-level </w:t>
      </w:r>
      <w:r>
        <w:rPr>
          <w:i/>
          <w:sz w:val="21"/>
        </w:rPr>
        <w:t>geometric fidelity</w:t>
      </w:r>
      <w:r>
        <w:rPr>
          <w:sz w:val="21"/>
        </w:rPr>
        <w:t xml:space="preserve">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claim is one of geometric proximity (LVD) only: because lip-sync quality is ultimately perceptual and our one perceptual metric proved invalid on this avatar, we make no claim of demonstrated perceptual-quality improvement, which awaits the user study of Section VI-C.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have also not yet instrumented the full live voice-to-voice pipeline (T₀–T₃), so end-to-end latency under the actual Gemini Live integration remains unmeasured — Section V-E reports component-wise Layer 1-3 costs only.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