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30"/>
        </w:rPr>
        <w:t>TranscriptionSync: Phoneme-Accurate Real-Time Lip Synchronization for Native-Audio Large Language Models, Deployed in A.T.L.A.S — a Fully Implemented Embodied Desktop Assistant</w:t>
      </w:r>
    </w:p>
    <w:p>
      <w:pPr>
        <w:jc w:val="both"/>
      </w:pPr>
      <w:r>
        <w:rPr>
          <w:b/>
          <w:sz w:val="21"/>
        </w:rPr>
        <w:t>Asst. Prof. Dr. Murat ARSLAN</w:t>
      </w:r>
      <w:r>
        <w:rPr>
          <w:sz w:val="21"/>
        </w:rPr>
        <w:t>¹</w:t>
      </w:r>
    </w:p>
    <w:p>
      <w:pPr>
        <w:jc w:val="both"/>
      </w:pPr>
      <w:r>
        <w:rPr>
          <w:sz w:val="21"/>
        </w:rPr>
        <w:t>¹ Department of Software Engineering, Altınbaş Cyprus University, Cyprus</w:t>
      </w:r>
    </w:p>
    <w:p>
      <w:pPr>
        <w:jc w:val="both"/>
      </w:pPr>
      <w:r>
        <w:rPr>
          <w:sz w:val="21"/>
        </w:rPr>
        <w:t>Corresponding author: Murat Arslan (e-mail: research@wpu.edu.tr).</w:t>
      </w:r>
    </w:p>
    <w:p>
      <w:pPr>
        <w:spacing w:before="280"/>
      </w:pPr>
      <w:r>
        <w:rPr>
          <w:b/>
          <w:color w:val="1F3564"/>
          <w:sz w:val="25"/>
        </w:rPr>
        <w:t>ABSTRACT</w:t>
      </w:r>
    </w:p>
    <w:p>
      <w:pPr>
        <w:jc w:val="both"/>
      </w:pPr>
      <w:r>
        <w:rPr>
          <w:sz w:val="21"/>
        </w:rPr>
        <w:t xml:space="preserve">The latest generation of speech-to-speech ("native audio") large language models — exemplified by OpenAI's GPT-4o Realtime and Google's Gemini Live APIs — removes the traditional cascade of speech recognition, text generation, and speech synthesis, enabling conversational latencies approaching natural human turn-taking. This architectural shift, however, breaks a core assumption of embodied conversational agents: native-audio models emit raw PCM audio with no phoneme timing metadata, so established viseme pipelines built on text-to-speech phoneme schedules or forced alignment cannot be applied, while learned audio-driven facial animation models demand GPU inference budgets unavailable on typical consumer desktops. We formalize this previously unaddressed problem — causal, phoneme-timing-free, CPU-budget lip synchronization for streaming speech-to-speech models — and present </w:t>
      </w:r>
      <w:r>
        <w:rPr>
          <w:b/>
          <w:sz w:val="21"/>
        </w:rPr>
        <w:t>TranscriptionSync</w:t>
      </w:r>
      <w:r>
        <w:rPr>
          <w:sz w:val="21"/>
        </w:rPr>
        <w:t xml:space="preserve">, a three-layer training-free solution. Layer 1 recovers word-level timing from the output audio stream itself using a lightweight streaming speech recognizer with word timestamps; a </w:t>
      </w:r>
      <w:r>
        <w:rPr>
          <w:i/>
          <w:sz w:val="21"/>
        </w:rPr>
        <w:t>playout-buffer synchronization model</w:t>
      </w:r>
      <w:r>
        <w:rPr>
          <w:sz w:val="21"/>
        </w:rPr>
        <w:t xml:space="preserve"> converts recognizer latency into a small, bounded, user-tunable response delay rather than audio–visual desynchronization. Layer 2 expands each timed word into a phoneme sequence via grapheme-to-phoneme conversion and solves the </w:t>
      </w:r>
      <w:r>
        <w:rPr>
          <w:i/>
          <w:sz w:val="21"/>
        </w:rPr>
        <w:t>word-bounded phoneme duration estimation</w:t>
      </w:r>
      <w:r>
        <w:rPr>
          <w:sz w:val="21"/>
        </w:rPr>
        <w:t xml:space="preserve"> problem — distributing each word interval across its phonemes by articulatory-class duration priors, which provably bounds timing error by word duration and eliminates drift. Layer 3 synthesizes 14 ARKit-compatible mouth blendshape channels at 60 fps by Gaussian-kernel co-articulation over the phoneme impulse train, with a winner-take-all dominance rule protecting bilabial closures. We evaluate against three training-free anchors — an amplitude-only baseline, the rate-scheduled variant currently deployed in production, and a non-causal forced-alignment oracle — on 50 rendered live-system utterances, reporting SyncNet LSE-C/LSE-D, lip vertex distance (LVD), timing error, and audio-visual lag, together with measured component-wise latency and CPU cost for all three TranscriptionSync layers. On LVD, the proposed method (TSYNC) is closest to the forced-alignment oracle (0.461 vs. 0.520 for amplitude-only and 0.556 for the deployed baseline), with kernel co-articulation (not duration estimation) identified as the dominant contributor; SyncNet LSE-D/LSE-C, by contrast, do not corroborate this ordering on the stylized avatar render, a discrepancy we report and discuss rather than omit. The method ships inside A.T.L.A.S, a fully implemented embodied desktop assistant built on Gemini 2.5 Flash Native Audio, whose complete architecture — full-duplex audio pipeline, 19-tool LLM orchestration, autonomous planner–executor agent, persistent memory, and browser-based VRM avatar — we present as the deployment context. Measured results show Layers 2-3 cost under 0.3% of one CPU core with sub-millisecond latency; Layer 1 (streaming word-timestamp ASR) dominates the budget and is practical for English (P95 emission lag 214 ms) but reveals a language asymmetry that makes the smallest model impractical for Turkish (P95 4.9 s). Layer-wise validation on 6 000 held-out GRID utterances shows that, given reference word boundaries, the class-prior duration allocation places phoneme midpoints within 18 ms of forced alignment — below the ±45 ms audio-visual detectability bound — while composed accuracy is bounded by the compact recognizer's word timestamps at 65 ms.</w:t>
      </w:r>
    </w:p>
    <w:p>
      <w:pPr>
        <w:jc w:val="both"/>
      </w:pPr>
      <w:r>
        <w:rPr>
          <w:b/>
          <w:sz w:val="21"/>
        </w:rPr>
        <w:t>INDEX TERMS</w:t>
      </w:r>
      <w:r>
        <w:rPr>
          <w:sz w:val="21"/>
        </w:rPr>
        <w:t xml:space="preserve"> — Lip synchronization, viseme synthesis, speech-to-speech models, large language models, embodied conversational agents, real-time facial animation, ARKit blendshapes, grapheme-to-phoneme conversion, multimodal interaction.</w:t>
      </w:r>
    </w:p>
    <w:p>
      <w:pPr>
        <w:spacing w:before="280"/>
      </w:pPr>
      <w:r>
        <w:rPr>
          <w:b/>
          <w:color w:val="1F3564"/>
          <w:sz w:val="25"/>
        </w:rPr>
        <w:t>I. INTRODUCTION</w:t>
      </w:r>
    </w:p>
    <w:p>
      <w:pPr>
        <w:jc w:val="both"/>
      </w:pPr>
      <w:r>
        <w:rPr>
          <w:sz w:val="21"/>
        </w:rPr>
        <w:t xml:space="preserve">Intelligent personal assistants such as Amazon Alexa, Apple Siri, and Google Assistant have normalized voice as an interaction modality, yet they remain fundamentally </w:t>
      </w:r>
      <w:r>
        <w:rPr>
          <w:i/>
          <w:sz w:val="21"/>
        </w:rPr>
        <w:t>disembodied</w:t>
      </w:r>
      <w:r>
        <w:rPr>
          <w:sz w:val="21"/>
        </w:rPr>
        <w:t>: their presence is communicated through synthesized speech alone, with no persistent, visually responsive entity that the user can perceive as a social co-presence [1], [2]. Four decades of research on embodied conversational agents (ECAs) and social robotics has consistently shown that a visually present, expressive agent improves engagement, recall, and trust relative to audio-only interfaces [3]–[5]. Translating this insight into a practical desktop assistant, however, has historically required stitching together separate automatic speech recognition (ASR), dialogue management, text-to-speech (TTS), and animation subsystems — a cascade whose cumulative latency (typically 1.5–3 s per turn) undermines the very social presence the embodiment is meant to create [6].</w:t>
      </w:r>
    </w:p>
    <w:p>
      <w:pPr>
        <w:jc w:val="both"/>
      </w:pPr>
      <w:r>
        <w:rPr>
          <w:sz w:val="21"/>
        </w:rPr>
        <w:t xml:space="preserve">A new class of </w:t>
      </w:r>
      <w:r>
        <w:rPr>
          <w:i/>
          <w:sz w:val="21"/>
        </w:rPr>
        <w:t>native-audio</w:t>
      </w:r>
      <w:r>
        <w:rPr>
          <w:sz w:val="21"/>
        </w:rPr>
        <w:t xml:space="preserve"> (speech-to-speech) large language models — exemplified by OpenAI's GPT-4o Realtime API and Google's Gemini Live API [7], [8] — collapses this cascade into a single model that consumes and produces audio directly, achieving sub-second conversational latency. This creates an unprecedented opportunity for embodied assistants, but also a new technical problem that, to our knowledge, has not yet received peer-reviewed treatment: </w:t>
      </w:r>
      <w:r>
        <w:rPr>
          <w:b/>
          <w:sz w:val="21"/>
        </w:rPr>
        <w:t>native-audio models emit raw PCM audio with no phoneme timing metadata</w:t>
      </w:r>
      <w:r>
        <w:rPr>
          <w:sz w:val="21"/>
        </w:rPr>
        <w:t xml:space="preserve">. The standard ECA lip-sync toolchain is thereby invalidated on both of its flanks. Phoneme-driven pipelines — TTS phoneme schedules [10] or forced alignment of the audio [9] — are inapplicable: there is no synthesizer to query, and aligners are non-causal, requiring the complete utterance plus hundreds of milliseconds of computation. Learned audio-driven facial animation, the other established family, does operate on raw audio [11], [20], [21], but state-of-the-art real-time variants require dedicated GPU inference — e.g., 0.17 s end-to-end on an NVIDIA A10 [36] or multi-H100 serving [37] — a budget unavailable to a desktop assistant that must share consumer hardware with the user's actual work. The remaining industry practice, amplitude-driven jaw flapping [22], is causal and cheap but articulatorily empty. What is missing is a method that is simultaneously </w:t>
      </w:r>
      <w:r>
        <w:rPr>
          <w:i/>
          <w:sz w:val="21"/>
        </w:rPr>
        <w:t>causal</w:t>
      </w:r>
      <w:r>
        <w:rPr>
          <w:sz w:val="21"/>
        </w:rPr>
        <w:t xml:space="preserve">, </w:t>
      </w:r>
      <w:r>
        <w:rPr>
          <w:i/>
          <w:sz w:val="21"/>
        </w:rPr>
        <w:t>phoneme-timing-free</w:t>
      </w:r>
      <w:r>
        <w:rPr>
          <w:sz w:val="21"/>
        </w:rPr>
        <w:t xml:space="preserve">, and </w:t>
      </w:r>
      <w:r>
        <w:rPr>
          <w:i/>
          <w:sz w:val="21"/>
        </w:rPr>
        <w:t>CPU-cheap</w:t>
      </w:r>
      <w:r>
        <w:rPr>
          <w:sz w:val="21"/>
        </w:rPr>
        <w:t>; commercial SDK vendors have begun shipping ad hoc solutions to exactly this gap [38], [39], confirming its practical relevance, but no published method or evaluation exists.</w:t>
      </w:r>
    </w:p>
    <w:p>
      <w:pPr>
        <w:jc w:val="both"/>
      </w:pPr>
      <w:r>
        <w:rPr>
          <w:sz w:val="21"/>
        </w:rPr>
        <w:t xml:space="preserve">This paper fills that gap with </w:t>
      </w:r>
      <w:r>
        <w:rPr>
          <w:b/>
          <w:sz w:val="21"/>
        </w:rPr>
        <w:t>TranscriptionSync</w:t>
      </w:r>
      <w:r>
        <w:rPr>
          <w:sz w:val="21"/>
        </w:rPr>
        <w:t xml:space="preserve">, built on a simple observation: the words being spoken are recoverable from the output audio itself, at a fraction of the cost of full audio-driven animation — a lightweight streaming speech recognizer with word-level timestamps supplies </w:t>
      </w:r>
      <w:r>
        <w:rPr>
          <w:i/>
          <w:sz w:val="21"/>
        </w:rPr>
        <w:t>what</w:t>
      </w:r>
      <w:r>
        <w:rPr>
          <w:sz w:val="21"/>
        </w:rPr>
        <w:t xml:space="preserve"> is said and </w:t>
      </w:r>
      <w:r>
        <w:rPr>
          <w:i/>
          <w:sz w:val="21"/>
        </w:rPr>
        <w:t>approximately when</w:t>
      </w:r>
      <w:r>
        <w:rPr>
          <w:sz w:val="21"/>
        </w:rPr>
        <w:t>, and the remaining problem reduces to distributing phonemes inside known word boundaries. Because the avatar client controls audio playout, recognizer latency need not cause desynchronization: scheduling playback behind a small fixed buffer gives the viseme pipeline guaranteed headroom, converting latency into a bounded, user-tunable response delay. The specific contributions are:</w:t>
      </w:r>
    </w:p>
    <w:p>
      <w:pPr>
        <w:ind w:left="340"/>
      </w:pPr>
      <w:r>
        <w:rPr>
          <w:sz w:val="21"/>
        </w:rPr>
        <w:t xml:space="preserve">1. </w:t>
      </w:r>
      <w:r>
        <w:rPr>
          <w:b/>
          <w:sz w:val="21"/>
        </w:rPr>
        <w:t>Problem formalization.</w:t>
      </w:r>
      <w:r>
        <w:rPr>
          <w:sz w:val="21"/>
        </w:rPr>
        <w:t xml:space="preserve"> We characterize causal, phoneme-timing-free, CPU-budget lip synchronization for streaming speech-to-speech models as a distinct problem, and position it against the three established lip-sync families (Section II-D, Section IV-A).</w:t>
      </w:r>
    </w:p>
    <w:p>
      <w:pPr>
        <w:ind w:left="340"/>
      </w:pPr>
      <w:r>
        <w:rPr>
          <w:sz w:val="21"/>
        </w:rPr>
        <w:t xml:space="preserve">2. </w:t>
      </w:r>
      <w:r>
        <w:rPr>
          <w:b/>
          <w:sz w:val="21"/>
        </w:rPr>
        <w:t>The TranscriptionSync pipeline</w:t>
      </w:r>
      <w:r>
        <w:rPr>
          <w:sz w:val="21"/>
        </w:rPr>
        <w:t xml:space="preserve"> (Section IV): (i) streaming word-timestamp ASR over the output PCM with a playout-buffer synchronization model that trades a bounded response delay for frame-accurate alignment; (ii) grapheme-to-phoneme expansion with </w:t>
      </w:r>
      <w:r>
        <w:rPr>
          <w:i/>
          <w:sz w:val="21"/>
        </w:rPr>
        <w:t>word-bounded phoneme duration estimation</w:t>
      </w:r>
      <w:r>
        <w:rPr>
          <w:sz w:val="21"/>
        </w:rPr>
        <w:t xml:space="preserve"> via articulatory-class priors — the central algorithmic contribution, with a drift-free bounded-error property that free-running schedules lack; (iii) 60 fps synthesis of 14 ARKit mouth blendshapes by Gaussian-kernel co-articulation with closure-dominance protection.</w:t>
      </w:r>
    </w:p>
    <w:p>
      <w:pPr>
        <w:ind w:left="340"/>
      </w:pPr>
      <w:r>
        <w:rPr>
          <w:sz w:val="21"/>
        </w:rPr>
        <w:t xml:space="preserve">3. </w:t>
      </w:r>
      <w:r>
        <w:rPr>
          <w:b/>
          <w:sz w:val="21"/>
        </w:rPr>
        <w:t>A complete deployed system.</w:t>
      </w:r>
      <w:r>
        <w:rPr>
          <w:sz w:val="21"/>
        </w:rPr>
        <w:t xml:space="preserve"> A.T.L.A.S (Autonomous Task-Learning AI System), a fully implemented embodied desktop assistant on Gemini 2.5 Flash Native Audio — full-duplex audio I/O with statistical noise gating, a 19-tool operating-system automation layer driven by LLM function calling, an autonomous planner–executor agent with bounded re-planning, capacity-bounded persistent memory, and a browser-based VRM avatar (Section III).</w:t>
      </w:r>
    </w:p>
    <w:p>
      <w:pPr>
        <w:ind w:left="340"/>
      </w:pPr>
      <w:r>
        <w:rPr>
          <w:sz w:val="21"/>
        </w:rPr>
        <w:t xml:space="preserve">4. </w:t>
      </w:r>
      <w:r>
        <w:rPr>
          <w:b/>
          <w:sz w:val="21"/>
        </w:rPr>
        <w:t>A quantitative evaluation protocol with three training-free anchors</w:t>
      </w:r>
      <w:r>
        <w:rPr>
          <w:sz w:val="21"/>
        </w:rPr>
        <w:t>: an amplitude-only baseline (lower anchor, current industry practice), the rate-scheduled variant deployed in production (RATE), and a non-causal Montreal-Forced-Aligner oracle (upper anchor). On 50 rendered live-system utterances, TSYNC achieves the lowest lip vertex distance (LVD) to the oracle (0.461 vs. 0.520 AMP / 0.556 RATE), driven by kernel co-articulation rather than duration estimation; SyncNet LSE-C/LSE-D do not corroborate this ordering on the stylized avatar render, which we report as a metric-validity finding (Section V).</w:t>
      </w:r>
    </w:p>
    <w:p>
      <w:pPr>
        <w:ind w:left="340"/>
      </w:pPr>
      <w:r>
        <w:rPr>
          <w:sz w:val="21"/>
        </w:rPr>
        <w:t xml:space="preserve">5. </w:t>
      </w:r>
      <w:r>
        <w:rPr>
          <w:b/>
          <w:sz w:val="21"/>
        </w:rPr>
        <w:t>Measured component-wise validation</w:t>
      </w:r>
      <w:r>
        <w:rPr>
          <w:sz w:val="21"/>
        </w:rPr>
        <w:t>: a layer-wise timing validation against MFA forced alignment on 6 000 held-out GRID utterances (Section V-D) — establishing 18 ms isolated Layer-2 accuracy and identifying recognizer word timestamps, not duration estimation, as the composed-accuracy bottleneck; a measured Layer 1-3 latency/CPU budget (Section V-E) revealing a language asymmetry in streaming ASR cost between English and Turkish; and an auxiliary validation of the 14-channel ARKit target representation via learned audio-to-blendshape regression on video-measured ground truth (Section V-F).</w:t>
      </w:r>
    </w:p>
    <w:p>
      <w:pPr>
        <w:jc w:val="both"/>
      </w:pPr>
      <w:r>
        <w:rPr>
          <w:sz w:val="21"/>
        </w:rPr>
        <w:t>The remainder of the paper is organized as follows. Section II surveys related work. Section III describes the deployment system. Section IV formalizes the lip-synchronization algorithm. Section V reports the objective evaluation. Section VI discusses implications, limitations, and future work, and Section VII concludes.</w:t>
      </w:r>
    </w:p>
    <w:p>
      <w:pPr>
        <w:spacing w:before="280"/>
      </w:pPr>
      <w:r>
        <w:rPr>
          <w:b/>
          <w:color w:val="1F3564"/>
          <w:sz w:val="25"/>
        </w:rPr>
        <w:t>II. RELATED WORK</w:t>
      </w:r>
    </w:p>
    <w:p>
      <w:pPr>
        <w:spacing w:before="200"/>
      </w:pPr>
      <w:r>
        <w:rPr>
          <w:b/>
          <w:color w:val="2E74B5"/>
          <w:sz w:val="22"/>
        </w:rPr>
        <w:t>A. Voice-Based Personal Assistants</w:t>
      </w:r>
    </w:p>
    <w:p>
      <w:pPr>
        <w:jc w:val="both"/>
      </w:pPr>
      <w:r>
        <w:rPr>
          <w:sz w:val="21"/>
        </w:rPr>
        <w:t>Commercial voice assistants have evolved rapidly since Siri (2011) and Amazon Echo (2014). Porcheron et al.'s ethnographic study of smart speakers found that users treat such devices as peripheral tools rather than social agents, attributable largely to the absence of visual presence [1]. Clark et al. identified the lack of contextual visual feedback as a structural constraint on task complexity in speech-only interfaces [2]. Kiseleva et al. identified embodiment and visual responsiveness as significant unmet needs in user satisfaction with intelligent assistants [12]. Despite continual improvements in language understanding, the interaction modality of these systems has remained essentially unchanged since their introduction.</w:t>
      </w:r>
    </w:p>
    <w:p>
      <w:pPr>
        <w:spacing w:before="200"/>
      </w:pPr>
      <w:r>
        <w:rPr>
          <w:b/>
          <w:color w:val="2E74B5"/>
          <w:sz w:val="22"/>
        </w:rPr>
        <w:t>B. Embodied Conversational Agents and Social Robots</w:t>
      </w:r>
    </w:p>
    <w:p>
      <w:pPr>
        <w:jc w:val="both"/>
      </w:pPr>
      <w:r>
        <w:rPr>
          <w:sz w:val="21"/>
        </w:rPr>
        <w:t>Cassell et al. established that agents with gesture, gaze, and facial expression substantially outperform voice- or text-only interfaces in perceived naturalness and engagement [3]. Breazeal's work on sociable robots demonstrated the role of facial expressivity in signaling attentiveness and emotional state [4]. More recent meta-analytic work confirms moderate positive effects of embodiment on user trust and rapport [5], [13]. A persistent obstacle to deployment has been the engineering cost of the real-time animation pipeline — particularly lip synchronization — which A.T.L.A.S addresses directly.</w:t>
      </w:r>
    </w:p>
    <w:p>
      <w:pPr>
        <w:spacing w:before="200"/>
      </w:pPr>
      <w:r>
        <w:rPr>
          <w:b/>
          <w:color w:val="2E74B5"/>
          <w:sz w:val="22"/>
        </w:rPr>
        <w:t>C. Large Language Models and Native-Audio Interfaces</w:t>
      </w:r>
    </w:p>
    <w:p>
      <w:pPr>
        <w:jc w:val="both"/>
      </w:pPr>
      <w:r>
        <w:rPr>
          <w:sz w:val="21"/>
        </w:rPr>
        <w:t xml:space="preserve">Transformer-based LLMs [14], few-shot generalization [15], and chain-of-thought reasoning [16] have transformed conversational AI, while LLM function calling has enabled language-driven tool orchestration [17]. Park et al.'s generative agents demonstrated believable long-term behavior through LLM-backed memory [18]. Most relevant to this work are </w:t>
      </w:r>
      <w:r>
        <w:rPr>
          <w:i/>
          <w:sz w:val="21"/>
        </w:rPr>
        <w:t>speech-to-speech</w:t>
      </w:r>
      <w:r>
        <w:rPr>
          <w:sz w:val="21"/>
        </w:rPr>
        <w:t xml:space="preserve"> models: GPT-4o introduced end-to-end multimodal training across audio, vision, and text [7], and Google's Gemini Live API exposes bidirectional streaming audio sessions with integrated tool use and optional output transcription [8]. The literature on building complete interactive embodied systems atop these APIs — and in particular on animating an avatar from their output — remains sparse; this paper contributes such an account.</w:t>
      </w:r>
    </w:p>
    <w:p>
      <w:pPr>
        <w:spacing w:before="200"/>
      </w:pPr>
      <w:r>
        <w:rPr>
          <w:b/>
          <w:color w:val="2E74B5"/>
          <w:sz w:val="22"/>
        </w:rPr>
        <w:t>D. Lip Synchronization and Viseme Synthesis</w:t>
      </w:r>
    </w:p>
    <w:p>
      <w:pPr>
        <w:jc w:val="both"/>
      </w:pPr>
      <w:r>
        <w:rPr>
          <w:sz w:val="21"/>
        </w:rPr>
        <w:t xml:space="preserve">Classical lip-sync pipelines fall into three families: (i) </w:t>
      </w:r>
      <w:r>
        <w:rPr>
          <w:i/>
          <w:sz w:val="21"/>
        </w:rPr>
        <w:t>text/phoneme-driven</w:t>
      </w:r>
      <w:r>
        <w:rPr>
          <w:sz w:val="21"/>
        </w:rPr>
        <w:t xml:space="preserve"> approaches that obtain a phoneme schedule from the TTS engine or a forced aligner such as the Montreal Forced Aligner and map phonemes to visemes through co-articulation rules [9], [10], [19]; (ii) </w:t>
      </w:r>
      <w:r>
        <w:rPr>
          <w:i/>
          <w:sz w:val="21"/>
        </w:rPr>
        <w:t>audio-driven</w:t>
      </w:r>
      <w:r>
        <w:rPr>
          <w:sz w:val="21"/>
        </w:rPr>
        <w:t xml:space="preserve"> learned approaches such as JALI [10], audio-to-expression regression [11], [20], and generative video models such as Wav2Lip [21]; and (iii) </w:t>
      </w:r>
      <w:r>
        <w:rPr>
          <w:i/>
          <w:sz w:val="21"/>
        </w:rPr>
        <w:t>amplitude-driven</w:t>
      </w:r>
      <w:r>
        <w:rPr>
          <w:sz w:val="21"/>
        </w:rPr>
        <w:t xml:space="preserve"> heuristics that open the jaw proportionally to signal energy, common in commercial avatar SDKs [22]. Family (i) is inapplicable to native-audio LLMs: there is no synthesizer to query for phoneme schedules, and forced aligners are non-causal. Family (ii) does apply to raw PCM, and recent systems achieve impressive real-time throughput — Livatar-1 reports 0.17 s end-to-end latency on a dedicated NVIDIA A10 [36], and TalkingMachines serves autoregressive diffusion avatars from H100 clusters [37] — but these budgets are incompatible with a consumer desktop assistant; family (ii) also requires training data and produces video rather than retargetable blendshape parameters. Family (iii) is causal and free but produces visibly implausible, single-degree-of-freedom motion. The practical urgency of this gap is evidenced by commercial SDKs that have recently begun shipping undocumented viseme-injection layers for exactly these APIs [38], [39] — without, to our knowledge, any published method description or quantitative evaluation. TranscriptionSync occupies a previously unexplored point in this design space: it restores the articulatory specificity of family (i) in a </w:t>
      </w:r>
      <w:r>
        <w:rPr>
          <w:i/>
          <w:sz w:val="21"/>
        </w:rPr>
        <w:t>causal streaming</w:t>
      </w:r>
      <w:r>
        <w:rPr>
          <w:sz w:val="21"/>
        </w:rPr>
        <w:t xml:space="preserve"> setting by recovering word-level timing with a lightweight streaming recognizer and estimating phoneme durations inside word boundaries — at orders of magnitude lower compute than family (ii) — and we provide the first quantitative evaluation of this design point against a family-(iii) lower anchor and a family-(i) offline oracle.</w:t>
      </w:r>
    </w:p>
    <w:p>
      <w:pPr>
        <w:spacing w:before="200"/>
      </w:pPr>
      <w:r>
        <w:rPr>
          <w:b/>
          <w:color w:val="2E74B5"/>
          <w:sz w:val="22"/>
        </w:rPr>
        <w:t>E. Avatar Representation Standards</w:t>
      </w:r>
    </w:p>
    <w:p>
      <w:pPr>
        <w:jc w:val="both"/>
      </w:pPr>
      <w:r>
        <w:rPr>
          <w:sz w:val="21"/>
        </w:rPr>
        <w:t>A.T.L.A.S renders VRM avatars — an open, glTF-based 3D humanoid format [23] — in the browser via Three.js and the @pixiv/three-vrm runtime [24]. Facial animation targets follow Apple's ARKit 52-blendshape specification [25], which has become a de facto interchange standard for facial motion across game engines and avatar toolchains.</w:t>
      </w:r>
    </w:p>
    <w:p>
      <w:pPr>
        <w:spacing w:before="280"/>
      </w:pPr>
      <w:r>
        <w:rPr>
          <w:b/>
          <w:color w:val="1F3564"/>
          <w:sz w:val="25"/>
        </w:rPr>
        <w:t>III. DEPLOYMENT SYSTEM: THE A.T.L.A.S ASSISTANT</w:t>
      </w:r>
    </w:p>
    <w:p>
      <w:pPr>
        <w:jc w:val="both"/>
      </w:pPr>
      <w:r>
        <w:rPr>
          <w:sz w:val="21"/>
        </w:rPr>
        <w:t>The proposed lip-synchronization method (Section IV) is not evaluated in isolation but deployed inside a complete, daily-usable embodied assistant. This section describes that system both as the evaluation vehicle and as evidence that the method's constraints (causality, CPU budget, zero added latency) are the ones that actually bind in practice.</w:t>
      </w:r>
    </w:p>
    <w:p>
      <w:pPr>
        <w:spacing w:before="200"/>
      </w:pPr>
      <w:r>
        <w:rPr>
          <w:b/>
          <w:color w:val="2E74B5"/>
          <w:sz w:val="22"/>
        </w:rPr>
        <w:t>A. Overview</w:t>
      </w:r>
    </w:p>
    <w:p>
      <w:pPr>
        <w:jc w:val="both"/>
      </w:pPr>
      <w:r>
        <w:rPr>
          <w:sz w:val="21"/>
        </w:rPr>
        <w:t xml:space="preserve">A.T.L.A.S is organized around a central asynchronous event loop (Python </w:t>
      </w:r>
      <w:r>
        <w:rPr>
          <w:rFonts w:ascii="Consolas" w:hAnsi="Consolas"/>
          <w:sz w:val="19"/>
        </w:rPr>
        <w:t>asyncio</w:t>
      </w:r>
      <w:r>
        <w:rPr>
          <w:sz w:val="21"/>
        </w:rPr>
        <w:t>) that maintains a persistent bidirectional session with the Gemini Live API. Figure 1 shows the architecture. Four concurrent coroutines manage the session: an audio uplink (</w:t>
      </w:r>
      <w:r>
        <w:rPr>
          <w:rFonts w:ascii="Consolas" w:hAnsi="Consolas"/>
          <w:sz w:val="19"/>
        </w:rPr>
        <w:t>send_realtime</w:t>
      </w:r>
      <w:r>
        <w:rPr>
          <w:sz w:val="21"/>
        </w:rPr>
        <w:t>), a microphone capture task (</w:t>
      </w:r>
      <w:r>
        <w:rPr>
          <w:rFonts w:ascii="Consolas" w:hAnsi="Consolas"/>
          <w:sz w:val="19"/>
        </w:rPr>
        <w:t>listen_audio</w:t>
      </w:r>
      <w:r>
        <w:rPr>
          <w:sz w:val="21"/>
        </w:rPr>
        <w:t>), a server-event consumer (</w:t>
      </w:r>
      <w:r>
        <w:rPr>
          <w:rFonts w:ascii="Consolas" w:hAnsi="Consolas"/>
          <w:sz w:val="19"/>
        </w:rPr>
        <w:t>receive_audio</w:t>
      </w:r>
      <w:r>
        <w:rPr>
          <w:sz w:val="21"/>
        </w:rPr>
        <w:t>), and an audio playback task (</w:t>
      </w:r>
      <w:r>
        <w:rPr>
          <w:rFonts w:ascii="Consolas" w:hAnsi="Consolas"/>
          <w:sz w:val="19"/>
        </w:rPr>
        <w:t>play_audio</w:t>
      </w:r>
      <w:r>
        <w:rPr>
          <w:sz w:val="21"/>
        </w:rPr>
        <w:t>). Tool invocations and avatar animation are dispatched from the event consumer; the avatar runs in a standard web browser, decoupled from the core process via WebSocket.</w:t>
      </w:r>
    </w:p>
    <w:p>
      <w:pPr>
        <w:jc w:val="center"/>
      </w:pPr>
      <w:r>
        <w:drawing>
          <wp:inline xmlns:a="http://schemas.openxmlformats.org/drawingml/2006/main" xmlns:pic="http://schemas.openxmlformats.org/drawingml/2006/picture">
            <wp:extent cx="5486400" cy="412053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4120539"/>
                    </a:xfrm>
                    <a:prstGeom prst="rect"/>
                  </pic:spPr>
                </pic:pic>
              </a:graphicData>
            </a:graphic>
          </wp:inline>
        </w:drawing>
      </w:r>
    </w:p>
    <w:p>
      <w:pPr>
        <w:jc w:val="both"/>
      </w:pPr>
      <w:r>
        <w:rPr>
          <w:b/>
          <w:sz w:val="21"/>
        </w:rPr>
        <w:t>FIGURE 1.</w:t>
      </w:r>
      <w:r>
        <w:rPr>
          <w:sz w:val="21"/>
        </w:rPr>
        <w:t xml:space="preserve"> System architecture. The Live API session (Gemini 2.5 Flash Native Audio) receives 16 kHz microphone audio and emits 24 kHz response audio (played back via </w:t>
      </w:r>
      <w:r>
        <w:rPr>
          <w:rFonts w:ascii="Consolas" w:hAnsi="Consolas"/>
          <w:sz w:val="19"/>
        </w:rPr>
        <w:t>sounddevice</w:t>
      </w:r>
      <w:r>
        <w:rPr>
          <w:sz w:val="21"/>
        </w:rPr>
        <w:t>, with an RMS amplitude envelope extracted for the fallback articulation channel) together with function calls and output transcription. Function calls pass through the tool router (negative routing constraints) to the 19 action modules, including the persistent-memory store and the planner-executor agent. Output transcription with word timestamps feeds the viseme worker (TranscriptionSync Layers 1-3), which synthesizes a 14-channel ARKit blendshape stream at 60 fps. The blendshape stream and amplitude envelope are sent over a WebSocket (port 7862) to the browser UI (HTTP port 7861), where Three.js and @pixiv/three-vrm drive 52 ARKit blendshapes, emotion state, and auto-blink on the VRM avatar.</w:t>
      </w:r>
    </w:p>
    <w:p>
      <w:pPr>
        <w:jc w:val="both"/>
      </w:pPr>
      <w:r>
        <w:rPr>
          <w:sz w:val="21"/>
        </w:rPr>
        <w:t>The configuration constants of the audio pipeline are summarized in Table 1.</w:t>
      </w:r>
    </w:p>
    <w:p>
      <w:pPr>
        <w:jc w:val="both"/>
      </w:pPr>
      <w:r>
        <w:rPr>
          <w:b/>
          <w:sz w:val="21"/>
        </w:rPr>
        <w:t>TABLE 1.</w:t>
      </w:r>
      <w:r>
        <w:rPr>
          <w:sz w:val="21"/>
        </w:rPr>
        <w:t xml:space="preserve"> Audio pipeline configuration.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Parameter</w:t>
            </w:r>
          </w:p>
        </w:tc>
        <w:tc>
          <w:tcPr>
            <w:tcW w:type="dxa" w:w="3249"/>
            <w:shd w:val="clear" w:fill="BDD7EE"/>
          </w:tcPr>
          <w:p>
            <w:r>
              <w:rPr>
                <w:b/>
                <w:sz w:val="19"/>
              </w:rPr>
              <w:t>Value</w:t>
            </w:r>
          </w:p>
        </w:tc>
        <w:tc>
          <w:tcPr>
            <w:tcW w:type="dxa" w:w="3249"/>
            <w:shd w:val="clear" w:fill="BDD7EE"/>
          </w:tcPr>
          <w:p>
            <w:r>
              <w:rPr>
                <w:b/>
                <w:sz w:val="19"/>
              </w:rPr>
              <w:t>Rationale</w:t>
            </w:r>
          </w:p>
        </w:tc>
      </w:tr>
      <w:tr>
        <w:tc>
          <w:tcPr>
            <w:tcW w:type="dxa" w:w="3249"/>
          </w:tcPr>
          <w:p>
            <w:r>
              <w:rPr>
                <w:sz w:val="19"/>
              </w:rPr>
              <w:t>Uplink sample rate</w:t>
            </w:r>
          </w:p>
        </w:tc>
        <w:tc>
          <w:tcPr>
            <w:tcW w:type="dxa" w:w="3249"/>
          </w:tcPr>
          <w:p>
            <w:r>
              <w:rPr>
                <w:sz w:val="19"/>
              </w:rPr>
              <w:t>16 000 Hz, mono, int16</w:t>
            </w:r>
          </w:p>
        </w:tc>
        <w:tc>
          <w:tcPr>
            <w:tcW w:type="dxa" w:w="3249"/>
          </w:tcPr>
          <w:p>
            <w:r>
              <w:rPr>
                <w:sz w:val="19"/>
              </w:rPr>
              <w:t>Live API input format</w:t>
            </w:r>
          </w:p>
        </w:tc>
      </w:tr>
      <w:tr>
        <w:tc>
          <w:tcPr>
            <w:tcW w:type="dxa" w:w="3249"/>
          </w:tcPr>
          <w:p>
            <w:r>
              <w:rPr>
                <w:sz w:val="19"/>
              </w:rPr>
              <w:t>Downlink sample rate</w:t>
            </w:r>
          </w:p>
        </w:tc>
        <w:tc>
          <w:tcPr>
            <w:tcW w:type="dxa" w:w="3249"/>
          </w:tcPr>
          <w:p>
            <w:r>
              <w:rPr>
                <w:sz w:val="19"/>
              </w:rPr>
              <w:t>24 000 Hz, mono, int16</w:t>
            </w:r>
          </w:p>
        </w:tc>
        <w:tc>
          <w:tcPr>
            <w:tcW w:type="dxa" w:w="3249"/>
          </w:tcPr>
          <w:p>
            <w:r>
              <w:rPr>
                <w:sz w:val="19"/>
              </w:rPr>
              <w:t>Live API output format</w:t>
            </w:r>
          </w:p>
        </w:tc>
      </w:tr>
      <w:tr>
        <w:tc>
          <w:tcPr>
            <w:tcW w:type="dxa" w:w="3249"/>
          </w:tcPr>
          <w:p>
            <w:r>
              <w:rPr>
                <w:sz w:val="19"/>
              </w:rPr>
              <w:t>Input block size</w:t>
            </w:r>
          </w:p>
        </w:tc>
        <w:tc>
          <w:tcPr>
            <w:tcW w:type="dxa" w:w="3249"/>
          </w:tcPr>
          <w:p>
            <w:r>
              <w:rPr>
                <w:sz w:val="19"/>
              </w:rPr>
              <w:t>1 024 samples (64 ms)</w:t>
            </w:r>
          </w:p>
        </w:tc>
        <w:tc>
          <w:tcPr>
            <w:tcW w:type="dxa" w:w="3249"/>
          </w:tcPr>
          <w:p>
            <w:r>
              <w:rPr>
                <w:sz w:val="19"/>
              </w:rPr>
              <w:t>granular voice-activity gating</w:t>
            </w:r>
          </w:p>
        </w:tc>
      </w:tr>
      <w:tr>
        <w:tc>
          <w:tcPr>
            <w:tcW w:type="dxa" w:w="3249"/>
          </w:tcPr>
          <w:p>
            <w:r>
              <w:rPr>
                <w:sz w:val="19"/>
              </w:rPr>
              <w:t>Output block size</w:t>
            </w:r>
          </w:p>
        </w:tc>
        <w:tc>
          <w:tcPr>
            <w:tcW w:type="dxa" w:w="3249"/>
          </w:tcPr>
          <w:p>
            <w:r>
              <w:rPr>
                <w:sz w:val="19"/>
              </w:rPr>
              <w:t>8 192 samples (341 ms)</w:t>
            </w:r>
          </w:p>
        </w:tc>
        <w:tc>
          <w:tcPr>
            <w:tcW w:type="dxa" w:w="3249"/>
          </w:tcPr>
          <w:p>
            <w:r>
              <w:rPr>
                <w:sz w:val="19"/>
              </w:rPr>
              <w:t>prevents playback underruns</w:t>
            </w:r>
          </w:p>
        </w:tc>
      </w:tr>
      <w:tr>
        <w:tc>
          <w:tcPr>
            <w:tcW w:type="dxa" w:w="3249"/>
          </w:tcPr>
          <w:p>
            <w:r>
              <w:rPr>
                <w:sz w:val="19"/>
              </w:rPr>
              <w:t>Uplink queue depth</w:t>
            </w:r>
          </w:p>
        </w:tc>
        <w:tc>
          <w:tcPr>
            <w:tcW w:type="dxa" w:w="3249"/>
          </w:tcPr>
          <w:p>
            <w:r>
              <w:rPr>
                <w:sz w:val="19"/>
              </w:rPr>
              <w:t>10 blocks (drop-oldest)</w:t>
            </w:r>
          </w:p>
        </w:tc>
        <w:tc>
          <w:tcPr>
            <w:tcW w:type="dxa" w:w="3249"/>
          </w:tcPr>
          <w:p>
            <w:r>
              <w:rPr>
                <w:sz w:val="19"/>
              </w:rPr>
              <w:t>bounds stale-audio latency</w:t>
            </w:r>
          </w:p>
        </w:tc>
      </w:tr>
      <w:tr>
        <w:tc>
          <w:tcPr>
            <w:tcW w:type="dxa" w:w="3249"/>
          </w:tcPr>
          <w:p>
            <w:r>
              <w:rPr>
                <w:sz w:val="19"/>
              </w:rPr>
              <w:t>LLM</w:t>
            </w:r>
          </w:p>
        </w:tc>
        <w:tc>
          <w:tcPr>
            <w:tcW w:type="dxa" w:w="3249"/>
          </w:tcPr>
          <w:p>
            <w:r>
              <w:rPr>
                <w:sz w:val="19"/>
              </w:rPr>
              <w:t>gemini-2.5-flash-native-audio</w:t>
            </w:r>
          </w:p>
        </w:tc>
        <w:tc>
          <w:tcPr>
            <w:tcW w:type="dxa" w:w="3249"/>
          </w:tcPr>
          <w:p>
            <w:r>
              <w:rPr>
                <w:sz w:val="19"/>
              </w:rPr>
              <w:t>speech-to-speech, tool use</w:t>
            </w:r>
          </w:p>
        </w:tc>
      </w:tr>
      <w:tr>
        <w:tc>
          <w:tcPr>
            <w:tcW w:type="dxa" w:w="3249"/>
          </w:tcPr>
          <w:p>
            <w:r>
              <w:rPr>
                <w:sz w:val="19"/>
              </w:rPr>
              <w:t>Planner LLM</w:t>
            </w:r>
          </w:p>
        </w:tc>
        <w:tc>
          <w:tcPr>
            <w:tcW w:type="dxa" w:w="3249"/>
          </w:tcPr>
          <w:p>
            <w:r>
              <w:rPr>
                <w:sz w:val="19"/>
              </w:rPr>
              <w:t>gemini-2.5-flash-lite</w:t>
            </w:r>
          </w:p>
        </w:tc>
        <w:tc>
          <w:tcPr>
            <w:tcW w:type="dxa" w:w="3249"/>
          </w:tcPr>
          <w:p>
            <w:r>
              <w:rPr>
                <w:sz w:val="19"/>
              </w:rPr>
              <w:t>low-cost JSON plan generation</w:t>
            </w:r>
          </w:p>
        </w:tc>
      </w:tr>
    </w:tbl>
    <w:p/>
    <w:p>
      <w:pPr>
        <w:spacing w:before="200"/>
      </w:pPr>
      <w:r>
        <w:rPr>
          <w:b/>
          <w:color w:val="2E74B5"/>
          <w:sz w:val="22"/>
        </w:rPr>
        <w:t>B. Full-Duplex Audio Pipeline with Statistical Noise Gating</w:t>
      </w:r>
    </w:p>
    <w:p>
      <w:pPr>
        <w:jc w:val="both"/>
      </w:pPr>
      <w:r>
        <w:rPr>
          <w:sz w:val="21"/>
        </w:rPr>
        <w:t>Microphone audio is captured in 64 ms blocks by a real-time callback. To prevent self-echo (the assistant hearing its own speech), the uplink is gated by a speaking flag protected by a mutex; capture continues but transmission is suppressed while the assistant's audio is playing — a software half-duplex policy over a full-duplex transport.</w:t>
      </w:r>
    </w:p>
    <w:p>
      <w:pPr>
        <w:jc w:val="both"/>
      </w:pPr>
      <w:r>
        <w:rPr>
          <w:sz w:val="21"/>
        </w:rPr>
        <w:t>Ambient noise robustness is provided by a user-triggered calibration routine. During a 2 s calibration window the system collects the root-mean-square (RMS) energy of each captured block,</w:t>
      </w:r>
    </w:p>
    <w:p>
      <w:pPr>
        <w:jc w:val="center"/>
      </w:pPr>
      <w:r>
        <w:rPr>
          <w:i/>
          <w:sz w:val="21"/>
        </w:rPr>
        <w:t>r</w:t>
      </w:r>
      <w:r>
        <w:rPr>
          <w:i/>
          <w:sz w:val="21"/>
        </w:rPr>
        <w:t xml:space="preserve"> = √( (1/N) Σᵢ xᵢ² ),  xᵢ ∈ [−1, 1),  N = 1024,  (1)</w:t>
      </w:r>
    </w:p>
    <w:p>
      <w:pPr>
        <w:jc w:val="both"/>
      </w:pPr>
      <w:r>
        <w:rPr>
          <w:sz w:val="21"/>
        </w:rPr>
        <w:t>and sets the noise-gate threshold from the sample mean μ and standard deviation σ of the collected RMS values:</w:t>
      </w:r>
    </w:p>
    <w:p>
      <w:pPr>
        <w:jc w:val="center"/>
      </w:pPr>
      <w:r>
        <w:rPr>
          <w:i/>
          <w:sz w:val="21"/>
        </w:rPr>
        <w:t>θ = clamp( μ + 2σ, 0.005, 0.02 ).  (2)</w:t>
      </w:r>
    </w:p>
    <w:p>
      <w:pPr>
        <w:jc w:val="both"/>
      </w:pPr>
      <w:r>
        <w:rPr>
          <w:sz w:val="21"/>
        </w:rPr>
        <w:t xml:space="preserve">The 2σ margin places the gate above ~97.7% of stationary noise blocks under a Gaussian assumption; the lower clamp guarantees a minimum floor and the upper clamp prevents the gate from suppressing genuine speech in loud environments. Blocks with </w:t>
      </w:r>
      <w:r>
        <w:rPr>
          <w:i/>
          <w:sz w:val="21"/>
        </w:rPr>
        <w:t>r</w:t>
      </w:r>
      <w:r>
        <w:rPr>
          <w:sz w:val="21"/>
        </w:rPr>
        <w:t xml:space="preserve"> &lt; θ are discarded before transmission, reducing both uplink bandwidth and spurious model activations. The threshold is reported to the user in decibels, θ_dB = 20 log₁₀ θ.</w:t>
      </w:r>
    </w:p>
    <w:p>
      <w:pPr>
        <w:jc w:val="both"/>
      </w:pPr>
      <w:r>
        <w:rPr>
          <w:sz w:val="21"/>
        </w:rPr>
        <w:t>If the uplink queue (depth 10) is full when a new block arrives, the oldest block is dropped rather than the newest, bounding worst-case audio staleness at ~640 ms while preserving the most recent speech.</w:t>
      </w:r>
    </w:p>
    <w:p>
      <w:pPr>
        <w:spacing w:before="200"/>
      </w:pPr>
      <w:r>
        <w:rPr>
          <w:b/>
          <w:color w:val="2E74B5"/>
          <w:sz w:val="22"/>
        </w:rPr>
        <w:t>C. LLM Core and Tool Orchestration</w:t>
      </w:r>
    </w:p>
    <w:p>
      <w:pPr>
        <w:jc w:val="both"/>
      </w:pPr>
      <w:r>
        <w:rPr>
          <w:sz w:val="21"/>
        </w:rPr>
        <w:t>The Live API session is configured with: audio-only response modality; input and output transcription enabled; a composite system instruction concatenating (i) the current date/time context, (ii) the serialized long-term memory (Section III-E), and (iii) a static persona/behavior prompt; and a registry of 19 function declarations. Table 2 groups the tools by category.</w:t>
      </w:r>
    </w:p>
    <w:p>
      <w:pPr>
        <w:jc w:val="both"/>
      </w:pPr>
      <w:r>
        <w:rPr>
          <w:b/>
          <w:sz w:val="21"/>
        </w:rPr>
        <w:t>TABLE 2.</w:t>
      </w:r>
      <w:r>
        <w:rPr>
          <w:sz w:val="21"/>
        </w:rPr>
        <w:t xml:space="preserve"> The 19-tool automation layer.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Category</w:t>
            </w:r>
          </w:p>
        </w:tc>
        <w:tc>
          <w:tcPr>
            <w:tcW w:type="dxa" w:w="3249"/>
            <w:shd w:val="clear" w:fill="BDD7EE"/>
          </w:tcPr>
          <w:p>
            <w:r>
              <w:rPr>
                <w:b/>
                <w:sz w:val="19"/>
              </w:rPr>
              <w:t>Tools</w:t>
            </w:r>
          </w:p>
        </w:tc>
        <w:tc>
          <w:tcPr>
            <w:tcW w:type="dxa" w:w="3249"/>
            <w:shd w:val="clear" w:fill="BDD7EE"/>
          </w:tcPr>
          <w:p>
            <w:r>
              <w:rPr>
                <w:b/>
                <w:sz w:val="19"/>
              </w:rPr>
              <w:t>Backend</w:t>
            </w:r>
          </w:p>
        </w:tc>
      </w:tr>
      <w:tr>
        <w:tc>
          <w:tcPr>
            <w:tcW w:type="dxa" w:w="3249"/>
          </w:tcPr>
          <w:p>
            <w:r>
              <w:rPr>
                <w:sz w:val="19"/>
              </w:rPr>
              <w:t>Application &amp; OS control</w:t>
            </w:r>
          </w:p>
        </w:tc>
        <w:tc>
          <w:tcPr>
            <w:tcW w:type="dxa" w:w="3249"/>
          </w:tcPr>
          <w:p>
            <w:r>
              <w:rPr>
                <w:sz w:val="19"/>
              </w:rPr>
              <w:t>open_app, computer_settings, computer_control, desktop_control</w:t>
            </w:r>
          </w:p>
        </w:tc>
        <w:tc>
          <w:tcPr>
            <w:tcW w:type="dxa" w:w="3249"/>
          </w:tcPr>
          <w:p>
            <w:r>
              <w:rPr>
                <w:sz w:val="19"/>
              </w:rPr>
              <w:t>OS APIs, PyAutoGUI</w:t>
            </w:r>
          </w:p>
        </w:tc>
      </w:tr>
      <w:tr>
        <w:tc>
          <w:tcPr>
            <w:tcW w:type="dxa" w:w="3249"/>
          </w:tcPr>
          <w:p>
            <w:r>
              <w:rPr>
                <w:sz w:val="19"/>
              </w:rPr>
              <w:t>Web &amp; information</w:t>
            </w:r>
          </w:p>
        </w:tc>
        <w:tc>
          <w:tcPr>
            <w:tcW w:type="dxa" w:w="3249"/>
          </w:tcPr>
          <w:p>
            <w:r>
              <w:rPr>
                <w:sz w:val="19"/>
              </w:rPr>
              <w:t>web_search, browser_control, weather_report, flight_finder, youtube_video</w:t>
            </w:r>
          </w:p>
        </w:tc>
        <w:tc>
          <w:tcPr>
            <w:tcW w:type="dxa" w:w="3249"/>
          </w:tcPr>
          <w:p>
            <w:r>
              <w:rPr>
                <w:sz w:val="19"/>
              </w:rPr>
              <w:t>browser automation, public APIs</w:t>
            </w:r>
          </w:p>
        </w:tc>
      </w:tr>
      <w:tr>
        <w:tc>
          <w:tcPr>
            <w:tcW w:type="dxa" w:w="3249"/>
          </w:tcPr>
          <w:p>
            <w:r>
              <w:rPr>
                <w:sz w:val="19"/>
              </w:rPr>
              <w:t>Communication</w:t>
            </w:r>
          </w:p>
        </w:tc>
        <w:tc>
          <w:tcPr>
            <w:tcW w:type="dxa" w:w="3249"/>
          </w:tcPr>
          <w:p>
            <w:r>
              <w:rPr>
                <w:sz w:val="19"/>
              </w:rPr>
              <w:t>send_message, reminder</w:t>
            </w:r>
          </w:p>
        </w:tc>
        <w:tc>
          <w:tcPr>
            <w:tcW w:type="dxa" w:w="3249"/>
          </w:tcPr>
          <w:p>
            <w:r>
              <w:rPr>
                <w:sz w:val="19"/>
              </w:rPr>
              <w:t>messaging platforms, task scheduler</w:t>
            </w:r>
          </w:p>
        </w:tc>
      </w:tr>
      <w:tr>
        <w:tc>
          <w:tcPr>
            <w:tcW w:type="dxa" w:w="3249"/>
          </w:tcPr>
          <w:p>
            <w:r>
              <w:rPr>
                <w:sz w:val="19"/>
              </w:rPr>
              <w:t>Files</w:t>
            </w:r>
          </w:p>
        </w:tc>
        <w:tc>
          <w:tcPr>
            <w:tcW w:type="dxa" w:w="3249"/>
          </w:tcPr>
          <w:p>
            <w:r>
              <w:rPr>
                <w:sz w:val="19"/>
              </w:rPr>
              <w:t>file_controller</w:t>
            </w:r>
          </w:p>
        </w:tc>
        <w:tc>
          <w:tcPr>
            <w:tcW w:type="dxa" w:w="3249"/>
          </w:tcPr>
          <w:p>
            <w:r>
              <w:rPr>
                <w:sz w:val="19"/>
              </w:rPr>
              <w:t>filesystem API</w:t>
            </w:r>
          </w:p>
        </w:tc>
      </w:tr>
      <w:tr>
        <w:tc>
          <w:tcPr>
            <w:tcW w:type="dxa" w:w="3249"/>
          </w:tcPr>
          <w:p>
            <w:r>
              <w:rPr>
                <w:sz w:val="19"/>
              </w:rPr>
              <w:t>Vision</w:t>
            </w:r>
          </w:p>
        </w:tc>
        <w:tc>
          <w:tcPr>
            <w:tcW w:type="dxa" w:w="3249"/>
          </w:tcPr>
          <w:p>
            <w:r>
              <w:rPr>
                <w:sz w:val="19"/>
              </w:rPr>
              <w:t>screen_process</w:t>
            </w:r>
          </w:p>
        </w:tc>
        <w:tc>
          <w:tcPr>
            <w:tcW w:type="dxa" w:w="3249"/>
          </w:tcPr>
          <w:p>
            <w:r>
              <w:rPr>
                <w:sz w:val="19"/>
              </w:rPr>
              <w:t>screen/webcam capture + vision LLM</w:t>
            </w:r>
          </w:p>
        </w:tc>
      </w:tr>
      <w:tr>
        <w:tc>
          <w:tcPr>
            <w:tcW w:type="dxa" w:w="3249"/>
          </w:tcPr>
          <w:p>
            <w:r>
              <w:rPr>
                <w:sz w:val="19"/>
              </w:rPr>
              <w:t>Software development</w:t>
            </w:r>
          </w:p>
        </w:tc>
        <w:tc>
          <w:tcPr>
            <w:tcW w:type="dxa" w:w="3249"/>
          </w:tcPr>
          <w:p>
            <w:r>
              <w:rPr>
                <w:sz w:val="19"/>
              </w:rPr>
              <w:t>code_helper, dev_agent</w:t>
            </w:r>
          </w:p>
        </w:tc>
        <w:tc>
          <w:tcPr>
            <w:tcW w:type="dxa" w:w="3249"/>
          </w:tcPr>
          <w:p>
            <w:r>
              <w:rPr>
                <w:sz w:val="19"/>
              </w:rPr>
              <w:t>code generation + execution</w:t>
            </w:r>
          </w:p>
        </w:tc>
      </w:tr>
      <w:tr>
        <w:tc>
          <w:tcPr>
            <w:tcW w:type="dxa" w:w="3249"/>
          </w:tcPr>
          <w:p>
            <w:r>
              <w:rPr>
                <w:sz w:val="19"/>
              </w:rPr>
              <w:t>Gaming</w:t>
            </w:r>
          </w:p>
        </w:tc>
        <w:tc>
          <w:tcPr>
            <w:tcW w:type="dxa" w:w="3249"/>
          </w:tcPr>
          <w:p>
            <w:r>
              <w:rPr>
                <w:sz w:val="19"/>
              </w:rPr>
              <w:t>game_updater</w:t>
            </w:r>
          </w:p>
        </w:tc>
        <w:tc>
          <w:tcPr>
            <w:tcW w:type="dxa" w:w="3249"/>
          </w:tcPr>
          <w:p>
            <w:r>
              <w:rPr>
                <w:sz w:val="19"/>
              </w:rPr>
              <w:t>Steam/Epic launchers</w:t>
            </w:r>
          </w:p>
        </w:tc>
      </w:tr>
      <w:tr>
        <w:tc>
          <w:tcPr>
            <w:tcW w:type="dxa" w:w="3249"/>
          </w:tcPr>
          <w:p>
            <w:r>
              <w:rPr>
                <w:sz w:val="19"/>
              </w:rPr>
              <w:t>Meta</w:t>
            </w:r>
          </w:p>
        </w:tc>
        <w:tc>
          <w:tcPr>
            <w:tcW w:type="dxa" w:w="3249"/>
          </w:tcPr>
          <w:p>
            <w:r>
              <w:rPr>
                <w:sz w:val="19"/>
              </w:rPr>
              <w:t>agent_task, save_memory, shutdown_atlas</w:t>
            </w:r>
          </w:p>
        </w:tc>
        <w:tc>
          <w:tcPr>
            <w:tcW w:type="dxa" w:w="3249"/>
          </w:tcPr>
          <w:p>
            <w:r>
              <w:rPr>
                <w:sz w:val="19"/>
              </w:rPr>
              <w:t>planner–executor, memory store</w:t>
            </w:r>
          </w:p>
        </w:tc>
      </w:tr>
    </w:tbl>
    <w:p/>
    <w:p>
      <w:pPr>
        <w:jc w:val="both"/>
      </w:pPr>
      <w:r>
        <w:rPr>
          <w:sz w:val="21"/>
        </w:rPr>
        <w:t xml:space="preserve">When the model emits a tool call, the router dispatches it on a thread-pool executor so that the audio event loop is never blocked; the string result is returned to the model as a function response, after which the model verbalizes the outcome in speech. Two design rules proved important in practice. First, </w:t>
      </w:r>
      <w:r>
        <w:rPr>
          <w:i/>
          <w:sz w:val="21"/>
        </w:rPr>
        <w:t>negative routing constraints</w:t>
      </w:r>
      <w:r>
        <w:rPr>
          <w:sz w:val="21"/>
        </w:rPr>
        <w:t xml:space="preserve"> are embedded in tool descriptions (e.g., the game-management tool declares itself the exclusive handler for its domain and forbids delegation to the generic agent), which empirically reduces tool-selection errors in informal use; a quantitative tool-routing evaluation is left to future work (Section VI-C). Second, </w:t>
      </w:r>
      <w:r>
        <w:rPr>
          <w:i/>
          <w:sz w:val="21"/>
        </w:rPr>
        <w:t>silent tools</w:t>
      </w:r>
      <w:r>
        <w:rPr>
          <w:sz w:val="21"/>
        </w:rPr>
        <w:t>: the memory-write tool returns a response flagged silent, instructing the model not to verbalize the operation, preserving conversational flow.</w:t>
      </w:r>
    </w:p>
    <w:p>
      <w:pPr>
        <w:spacing w:before="200"/>
      </w:pPr>
      <w:r>
        <w:rPr>
          <w:b/>
          <w:color w:val="2E74B5"/>
          <w:sz w:val="22"/>
        </w:rPr>
        <w:t>D. Autonomous Planner–Executor Agent</w:t>
      </w:r>
    </w:p>
    <w:p>
      <w:pPr>
        <w:jc w:val="both"/>
      </w:pPr>
      <w:r>
        <w:rPr>
          <w:sz w:val="21"/>
        </w:rPr>
        <w:t xml:space="preserve">Single commands are handled by direct tool calls; goals requiring several heterogeneous steps are delegated to an agent subsystem via the </w:t>
      </w:r>
      <w:r>
        <w:rPr>
          <w:rFonts w:ascii="Consolas" w:hAnsi="Consolas"/>
          <w:sz w:val="19"/>
        </w:rPr>
        <w:t>agent_task</w:t>
      </w:r>
      <w:r>
        <w:rPr>
          <w:sz w:val="21"/>
        </w:rPr>
        <w:t xml:space="preserve"> tool. The agent comprises:</w:t>
      </w:r>
    </w:p>
    <w:p>
      <w:pPr>
        <w:jc w:val="both"/>
      </w:pPr>
      <w:r>
        <w:rPr>
          <w:b/>
          <w:sz w:val="21"/>
        </w:rPr>
        <w:t>Planner.</w:t>
      </w:r>
      <w:r>
        <w:rPr>
          <w:sz w:val="21"/>
        </w:rPr>
        <w:t xml:space="preserve"> A lightweight LLM (gemini-2.5-flash-lite) receives the goal and a constrained planning prompt enumerating the available tools and their parameters, and returns a strict-JSON plan</w:t>
      </w:r>
    </w:p>
    <w:p>
      <w:pPr>
        <w:jc w:val="both"/>
      </w:pPr>
      <w:r>
        <w:rPr>
          <w:sz w:val="21"/>
        </w:rPr>
        <w:t>P = ⟨s₁, …, s_n⟩, n ≤ 5, where each step sᵢ = (toolᵢ, paramsᵢ, criticalᵢ). Plans referencing nonexistent tools are sanitized by rule (substituted with a web search step), and JSON parse failures degrade to a single-step fallback plan.</w:t>
      </w:r>
    </w:p>
    <w:p>
      <w:pPr>
        <w:jc w:val="both"/>
      </w:pPr>
      <w:r>
        <w:rPr>
          <w:b/>
          <w:sz w:val="21"/>
        </w:rPr>
        <w:t>Executor.</w:t>
      </w:r>
      <w:r>
        <w:rPr>
          <w:sz w:val="21"/>
        </w:rPr>
        <w:t xml:space="preserve"> Steps execute sequentially with per-step result capture. On failure of a critical step, the executor invokes </w:t>
      </w:r>
      <w:r>
        <w:rPr>
          <w:i/>
          <w:sz w:val="21"/>
        </w:rPr>
        <w:t>bounded re-planning</w:t>
      </w:r>
      <w:r>
        <w:rPr>
          <w:sz w:val="21"/>
        </w:rPr>
        <w:t>: the planner is re-prompted with the goal, the completed-step summary, the failed step, and the error message, and asked for a revised plan covering only the remaining work. Re-planning is capped at K attempts (K = MAX_REPLAN_ATTEMPTS), after which the agent reports failure. This bounded-recovery loop converts brittle linear plans into a simple closed-loop controller at negligible token cost.</w:t>
      </w:r>
    </w:p>
    <w:p>
      <w:pPr>
        <w:jc w:val="both"/>
      </w:pPr>
      <w:r>
        <w:rPr>
          <w:b/>
          <w:sz w:val="21"/>
        </w:rPr>
        <w:t>Task queue.</w:t>
      </w:r>
      <w:r>
        <w:rPr>
          <w:sz w:val="21"/>
        </w:rPr>
        <w:t xml:space="preserve"> Agent tasks are submitted to a priority queue (low/normal/high) and run on background threads, so the voice interface remains responsive during long-running tasks; progress is reported by speech callbacks.</w:t>
      </w:r>
    </w:p>
    <w:p>
      <w:pPr>
        <w:spacing w:before="200"/>
      </w:pPr>
      <w:r>
        <w:rPr>
          <w:b/>
          <w:color w:val="2E74B5"/>
          <w:sz w:val="22"/>
        </w:rPr>
        <w:t>E. Capacity-Bounded Persistent Memory</w:t>
      </w:r>
    </w:p>
    <w:p>
      <w:pPr>
        <w:jc w:val="both"/>
      </w:pPr>
      <w:r>
        <w:rPr>
          <w:sz w:val="21"/>
        </w:rPr>
        <w:t xml:space="preserve">Long-term memory is a six-category JSON store (identity, preferences, projects, relationships, wishes, notes) written by the silent </w:t>
      </w:r>
      <w:r>
        <w:rPr>
          <w:rFonts w:ascii="Consolas" w:hAnsi="Consolas"/>
          <w:sz w:val="19"/>
        </w:rPr>
        <w:t>save_memory</w:t>
      </w:r>
      <w:r>
        <w:rPr>
          <w:sz w:val="21"/>
        </w:rPr>
        <w:t xml:space="preserve"> tool and injected into the system prompt at session start. Two hard limits make the design robust to unbounded accumulation: each value is truncated to 380 characters, and the total serialized store is bounded at 2 200 characters. When the bound is exceeded, entries are evicted in least-recently-updated order (each entry carries an </w:t>
      </w:r>
      <w:r>
        <w:rPr>
          <w:rFonts w:ascii="Consolas" w:hAnsi="Consolas"/>
          <w:sz w:val="19"/>
        </w:rPr>
        <w:t>updated</w:t>
      </w:r>
      <w:r>
        <w:rPr>
          <w:sz w:val="21"/>
        </w:rPr>
        <w:t xml:space="preserve"> date stamp) until the store fits — an LRU policy at memory-item granularity. All reads and writes are serialized through a process-wide lock. The deliberately small budget keeps the memory's prompt-token cost (~550 tokens) negligible relative to the context window while persisting the facts with the highest conversational utility.</w:t>
      </w:r>
    </w:p>
    <w:p>
      <w:pPr>
        <w:spacing w:before="200"/>
      </w:pPr>
      <w:r>
        <w:rPr>
          <w:b/>
          <w:color w:val="2E74B5"/>
          <w:sz w:val="22"/>
        </w:rPr>
        <w:t>F. Presentation Layer: Browser-Based VRM Avatar</w:t>
      </w:r>
    </w:p>
    <w:p>
      <w:pPr>
        <w:jc w:val="both"/>
      </w:pPr>
      <w:r>
        <w:rPr>
          <w:sz w:val="21"/>
        </w:rPr>
        <w:t>The avatar runs entirely in a web browser served by the core process (HTTP, port 7861) and animated over a WebSocket channel (port 7862). The renderer is built on Three.js with @pixiv/three-vrm and loads VRoid-format VRM humanoid models exposing the full 52-blendshape ARKit set. The animation system composes, per frame:</w:t>
      </w:r>
    </w:p>
    <w:p>
      <w:pPr>
        <w:ind w:left="340"/>
      </w:pPr>
      <w:r>
        <w:rPr>
          <w:sz w:val="21"/>
        </w:rPr>
        <w:t xml:space="preserve">1. </w:t>
      </w:r>
      <w:r>
        <w:rPr>
          <w:b/>
          <w:sz w:val="21"/>
        </w:rPr>
        <w:t>Body state machine</w:t>
      </w:r>
      <w:r>
        <w:rPr>
          <w:sz w:val="21"/>
        </w:rPr>
        <w:t xml:space="preserve"> — two skeletal animation states (idle, speaking) loaded from glTF clips and cross-faded on state transitions;</w:t>
      </w:r>
    </w:p>
    <w:p>
      <w:pPr>
        <w:ind w:left="340"/>
      </w:pPr>
      <w:r>
        <w:rPr>
          <w:sz w:val="21"/>
        </w:rPr>
        <w:t xml:space="preserve">2. </w:t>
      </w:r>
      <w:r>
        <w:rPr>
          <w:b/>
          <w:sz w:val="21"/>
        </w:rPr>
        <w:t>Lip synchronization</w:t>
      </w:r>
      <w:r>
        <w:rPr>
          <w:sz w:val="21"/>
        </w:rPr>
        <w:t xml:space="preserve"> — 14 mouth-region blendshape channels streamed from the core process at up to 60 fps (Section IV);</w:t>
      </w:r>
    </w:p>
    <w:p>
      <w:pPr>
        <w:ind w:left="340"/>
      </w:pPr>
      <w:r>
        <w:rPr>
          <w:sz w:val="21"/>
        </w:rPr>
        <w:t xml:space="preserve">3. </w:t>
      </w:r>
      <w:r>
        <w:rPr>
          <w:b/>
          <w:sz w:val="21"/>
        </w:rPr>
        <w:t>Emotion layer</w:t>
      </w:r>
      <w:r>
        <w:rPr>
          <w:sz w:val="21"/>
        </w:rPr>
        <w:t xml:space="preserve"> — six expression presets (neutral, happy, surprised, concerned, thinking, listening) applied to upper-face channels, linearly interpolated toward the current target each frame, and restricted to upper-face channels while speech is active so as not to fight the lip-sync layer;</w:t>
      </w:r>
    </w:p>
    <w:p>
      <w:pPr>
        <w:ind w:left="340"/>
      </w:pPr>
      <w:r>
        <w:rPr>
          <w:sz w:val="21"/>
        </w:rPr>
        <w:t xml:space="preserve">4. </w:t>
      </w:r>
      <w:r>
        <w:rPr>
          <w:b/>
          <w:sz w:val="21"/>
        </w:rPr>
        <w:t>Auto-blink</w:t>
      </w:r>
      <w:r>
        <w:rPr>
          <w:sz w:val="21"/>
        </w:rPr>
        <w:t xml:space="preserve"> — a stochastic blink generator with randomized inter-blink intervals and a 150 ms half-blink duration, providing baseline liveliness.</w:t>
      </w:r>
    </w:p>
    <w:p>
      <w:pPr>
        <w:jc w:val="both"/>
      </w:pPr>
      <w:r>
        <w:rPr>
          <w:sz w:val="21"/>
        </w:rPr>
        <w:t>Critically, when an avatar client is connected, the response audio is transported to the browser together with its blendshape schedule and played there, guaranteeing audio–visual synchronization at the destination rather than attempting cross-process clock alignment.</w:t>
      </w:r>
    </w:p>
    <w:p>
      <w:pPr>
        <w:spacing w:before="200"/>
      </w:pPr>
      <w:r>
        <w:rPr>
          <w:b/>
          <w:color w:val="2E74B5"/>
          <w:sz w:val="22"/>
        </w:rPr>
        <w:t>G. Emotion Inference</w:t>
      </w:r>
    </w:p>
    <w:p>
      <w:pPr>
        <w:jc w:val="both"/>
      </w:pPr>
      <w:r>
        <w:rPr>
          <w:sz w:val="21"/>
        </w:rPr>
        <w:t>Because the native-audio model exposes no affect metadata, A.T.L.A.S infers display emotion from the output transcription with a two-stage rule-based classifier. At turn onset, the first transcription chunk is classified into one of six classes by keyword and punctuation cues (bilingual English/Turkish lexicons); audio playback of the first chunk is briefly held (≤ 650 ms, event-gated) so the facial expression is set before the voice begins — mirroring the human pattern in which facial affect precedes speech. During the turn, a higher-precision per-chunk classifier may switch the expression, subject to a 2.5 s hysteresis interval that prevents flicker. At turn end the expression decays to neutral after 2.5 s. We regard this component as a pragmatic placeholder: Section VI discusses replacing it with learned affect estimation.</w:t>
      </w:r>
    </w:p>
    <w:p>
      <w:pPr>
        <w:spacing w:before="280"/>
      </w:pPr>
      <w:r>
        <w:rPr>
          <w:b/>
          <w:color w:val="1F3564"/>
          <w:sz w:val="25"/>
        </w:rPr>
        <w:t>IV. TRANSCRIPTIONSYNC: WORD-TIMESTAMP-DRIVEN VISEME SYNTHESIS</w:t>
      </w:r>
    </w:p>
    <w:p>
      <w:pPr>
        <w:spacing w:before="200"/>
      </w:pPr>
      <w:r>
        <w:rPr>
          <w:b/>
          <w:color w:val="2E74B5"/>
          <w:sz w:val="22"/>
        </w:rPr>
        <w:t>A. Problem Statement</w:t>
      </w:r>
    </w:p>
    <w:p>
      <w:pPr>
        <w:jc w:val="both"/>
      </w:pPr>
      <w:r>
        <w:rPr>
          <w:sz w:val="21"/>
        </w:rPr>
        <w:t>Let a native-audio LLM emit, for each response turn, a sequence of PCM audio chunks a₁, a₂, … at 24 kHz. Optionally, an asynchronous stream of transcription text chunks is also emitted, but it carries no timestamps and lags the audio by a variable, unspecified offset. No phoneme identities, timestamps, or durations are provided by the API. The task is to drive M = 14 mouth blendshape channels b(t) ∈ [0,1]^M at 60 fps such that the perceived articulation is plausible and synchronized with the audio, causally and under a real-time CPU budget.</w:t>
      </w:r>
    </w:p>
    <w:p>
      <w:pPr>
        <w:jc w:val="both"/>
      </w:pPr>
      <w:r>
        <w:rPr>
          <w:sz w:val="21"/>
        </w:rPr>
        <w:t xml:space="preserve">Amplitude-only methods set jaw opening proportional to short-time energy — synchronous but articulatorily empty (no lip closure for /m, b, p/, no rounding for /u, o/, no spreading for /i, e/). Forced alignment recovers true phoneme timing but requires the complete utterance and 10²–10³ ms of computation. TranscriptionSync decomposes the problem into three layers: recover </w:t>
      </w:r>
      <w:r>
        <w:rPr>
          <w:i/>
          <w:sz w:val="21"/>
        </w:rPr>
        <w:t>word-level</w:t>
      </w:r>
      <w:r>
        <w:rPr>
          <w:sz w:val="21"/>
        </w:rPr>
        <w:t xml:space="preserve"> timing cheaply (Layer 1), estimate </w:t>
      </w:r>
      <w:r>
        <w:rPr>
          <w:i/>
          <w:sz w:val="21"/>
        </w:rPr>
        <w:t>phoneme-level</w:t>
      </w:r>
      <w:r>
        <w:rPr>
          <w:sz w:val="21"/>
        </w:rPr>
        <w:t xml:space="preserve"> timing inside the recovered word boundaries (Layer 2), and synthesize co-articulated blendshape trajectories from the timed phoneme train (Layer 3).</w:t>
      </w:r>
    </w:p>
    <w:p>
      <w:pPr>
        <w:spacing w:before="200"/>
      </w:pPr>
      <w:r>
        <w:rPr>
          <w:b/>
          <w:color w:val="2E74B5"/>
          <w:sz w:val="22"/>
        </w:rPr>
        <w:t>B. Layer 1 — Streaming Word-Timestamp ASR with Playout-Buffer Synchronization</w:t>
      </w:r>
    </w:p>
    <w:p>
      <w:pPr>
        <w:jc w:val="both"/>
      </w:pPr>
      <w:r>
        <w:rPr>
          <w:sz w:val="21"/>
        </w:rPr>
        <w:t xml:space="preserve">Incoming PCM chunks are appended to a rolling buffer and transcribed incrementally by a compact multilingual Whisper variant executed with int8 quantization on CPU [33], [42], configured to emit word-level timestamps. Inference runs on a sliding window of W = 3.2 s with hop h = 320 ms; a word w_i is </w:t>
      </w:r>
      <w:r>
        <w:rPr>
          <w:i/>
          <w:sz w:val="21"/>
        </w:rPr>
        <w:t>finalized</w:t>
      </w:r>
      <w:r>
        <w:rPr>
          <w:sz w:val="21"/>
        </w:rPr>
        <w:t xml:space="preserve"> and emitted as a triple (text_i, t_i^s, t_i^e) once its end timestamp falls more than a guard interval g behind the buffer head, so that subsequent windows can no longer revise it. The recognizer does not need to be highly accurate: substitution errors typically replace a word with a phonetically similar one, whose viseme sequence is correspondingly similar — a graceful-degradation property consistent with the layer-wise results of Section V-D. One property of the recognizer </w:t>
      </w:r>
      <w:r>
        <w:rPr>
          <w:i/>
          <w:sz w:val="21"/>
        </w:rPr>
        <w:t>is</w:t>
      </w:r>
      <w:r>
        <w:rPr>
          <w:sz w:val="21"/>
        </w:rPr>
        <w:t xml:space="preserve"> load-bearing: its word timestamps must share the playout clock. Whisper-family models anchor their decoding clock at speech onset, so audio whose window begins with silence yields word timestamps uniformly shifted early by the leading-silence duration (measured at −362 ms on average on GRID-style material, Section V-D) — an offset that would translate directly into audio-visual desynchronization. Layer 1 therefore requires explicit onset handling: either voice-activity gating of the window or energy-based onset detection with clock restoration, so that emitted timestamps are anchored to the stream clock rather than to speech onset.</w:t>
      </w:r>
    </w:p>
    <w:p>
      <w:pPr>
        <w:jc w:val="both"/>
      </w:pPr>
      <w:r>
        <w:rPr>
          <w:sz w:val="21"/>
        </w:rPr>
        <w:t xml:space="preserve">Let L denote the </w:t>
      </w:r>
      <w:r>
        <w:rPr>
          <w:i/>
          <w:sz w:val="21"/>
        </w:rPr>
        <w:t>word emission lag</w:t>
      </w:r>
      <w:r>
        <w:rPr>
          <w:sz w:val="21"/>
        </w:rPr>
        <w:t xml:space="preserve">: the wall-clock delay from the arrival of the audio containing a word to the emission of its finalized timestamped triple. The key architectural device is the </w:t>
      </w:r>
      <w:r>
        <w:rPr>
          <w:b/>
          <w:sz w:val="21"/>
        </w:rPr>
        <w:t>playout buffer</w:t>
      </w:r>
      <w:r>
        <w:rPr>
          <w:sz w:val="21"/>
        </w:rPr>
        <w:t>: because the avatar client (Section III-F) receives and plays the response audio itself, playback is scheduled behind arrival by a fixed delay Δ — the audio sample with stream time t is presented at wall time t + Δ. The viseme pipeline therefore has Δ of guaranteed headroom, and frame-accurate synchronization is achieved whenever</w:t>
      </w:r>
    </w:p>
    <w:p>
      <w:pPr>
        <w:jc w:val="center"/>
      </w:pPr>
      <w:r>
        <w:rPr>
          <w:i/>
          <w:sz w:val="21"/>
        </w:rPr>
        <w:t>Δ ≥ P95(L) + L_g2p + L_syn,  (3)</w:t>
      </w:r>
    </w:p>
    <w:p>
      <w:pPr>
        <w:jc w:val="both"/>
      </w:pPr>
      <w:r>
        <w:rPr>
          <w:sz w:val="21"/>
        </w:rPr>
        <w:t xml:space="preserve">where L_g2p and L_syn are the (sub-millisecond to millisecond) Layer-2 and Layer-3 latencies. Under condition (3), audio–visual alignment is limited only by </w:t>
      </w:r>
      <w:r>
        <w:rPr>
          <w:i/>
          <w:sz w:val="21"/>
        </w:rPr>
        <w:t>timestamp accuracy</w:t>
      </w:r>
      <w:r>
        <w:rPr>
          <w:sz w:val="21"/>
        </w:rPr>
        <w:t>, not by pipeline latency; Δ surfaces as a single user-tunable knob that adds to voice-to-voice response time but cannot cause desynchronization. This inverts the usual real-time trade-off: rather than racing the audio, the pipeline runs ahead of a deliberately delayed presentation deadline.</w:t>
      </w:r>
    </w:p>
    <w:p>
      <w:pPr>
        <w:spacing w:before="200"/>
      </w:pPr>
      <w:r>
        <w:rPr>
          <w:b/>
          <w:color w:val="2E74B5"/>
          <w:sz w:val="22"/>
        </w:rPr>
        <w:t>C. Layer 2 — G2P Conversion and Word-Bounded Phoneme Duration Estimation</w:t>
      </w:r>
    </w:p>
    <w:p>
      <w:pPr>
        <w:jc w:val="both"/>
      </w:pPr>
      <w:r>
        <w:rPr>
          <w:sz w:val="21"/>
        </w:rPr>
        <w:t xml:space="preserve">Each finalized word is expanded into a phoneme sequence p₁ … p_J by grapheme-to-phoneme (G2P) conversion: for English, a CMUdict-backed neural G2P model; for Turkish, a rule-based converter exploiting the language's near one-to-one grapheme–phoneme correspondence (shallow orthography). The remaining problem — the central algorithmic contribution of this paper — is </w:t>
      </w:r>
      <w:r>
        <w:rPr>
          <w:b/>
          <w:sz w:val="21"/>
        </w:rPr>
        <w:t>word-bounded phoneme duration estimation</w:t>
      </w:r>
      <w:r>
        <w:rPr>
          <w:sz w:val="21"/>
        </w:rPr>
        <w:t>: assigning each phoneme a duration within the known word interval T_i = t_i^e − t_i^s.</w:t>
      </w:r>
    </w:p>
    <w:p>
      <w:pPr>
        <w:jc w:val="both"/>
      </w:pPr>
      <w:r>
        <w:rPr>
          <w:sz w:val="21"/>
        </w:rPr>
        <w:t>Uniform splitting (d_j = T_i / J) ignores the large systematic duration differences between phoneme classes (vowels are roughly twice as long as stops in connected speech). We instead allocate durations proportionally to articulatory-class priors λ:</w:t>
      </w:r>
    </w:p>
    <w:p>
      <w:pPr>
        <w:jc w:val="center"/>
      </w:pPr>
      <w:r>
        <w:rPr>
          <w:i/>
          <w:sz w:val="21"/>
        </w:rPr>
        <w:t>d_j = T_i · λ(p_j) / Σ_{k=1..J} λ(p_k),  (4)</w:t>
      </w:r>
    </w:p>
    <w:p>
      <w:pPr>
        <w:jc w:val="both"/>
      </w:pPr>
      <w:r>
        <w:rPr>
          <w:sz w:val="21"/>
        </w:rPr>
        <w:t>with fixed design priors: vowel 1.6, diphthong 2.1, fricative 1.0, affricate 0.9, nasal 0.9, plosive 0.7, liquid 0.8, glide 0.75 — set from phonetic duration norms. These values are design constants, not fitted to any corpus; Section V-D evaluates them as-is against forced alignment on held-out GRID speakers. Phoneme midpoint timestamps follow as</w:t>
      </w:r>
    </w:p>
    <w:p>
      <w:pPr>
        <w:jc w:val="center"/>
      </w:pPr>
      <w:r>
        <w:rPr>
          <w:i/>
          <w:sz w:val="21"/>
        </w:rPr>
        <w:t>τ_j = t_i^s + Σ_{k&lt;j} d_k + d_j / 2.  (5)</w:t>
      </w:r>
    </w:p>
    <w:p>
      <w:pPr>
        <w:jc w:val="both"/>
      </w:pPr>
      <w:r>
        <w:rPr>
          <w:sz w:val="21"/>
        </w:rPr>
        <w:t xml:space="preserve">The decisive property of this formulation is </w:t>
      </w:r>
      <w:r>
        <w:rPr>
          <w:b/>
          <w:sz w:val="21"/>
        </w:rPr>
        <w:t>bounded, non-accumulating timing error</w:t>
      </w:r>
      <w:r>
        <w:rPr>
          <w:sz w:val="21"/>
        </w:rPr>
        <w:t>: because every phoneme is anchored inside ASR-supplied word boundaries, the timing error of any phoneme is bounded by its word's duration (|τ̂_j − τ_j</w:t>
      </w:r>
      <w:r>
        <w:rPr>
          <w:i/>
          <w:sz w:val="21"/>
        </w:rPr>
        <w:t xml:space="preserve">| &lt; T_i, typically &lt; 400 ms) and </w:t>
      </w:r>
      <w:r>
        <w:rPr>
          <w:sz w:val="21"/>
        </w:rPr>
        <w:t>resets at every word boundary*. Free-running schedules — including the deployed variant of Section IV-F — accumulate unbounded drift between anchor events; TranscriptionSync structurally cannot. Empirically, mean absolute phoneme-midpoint error against forced alignment is 18 ms given reference word boundaries, rising to 65 ms end-to-end when a compact streaming recognizer supplies the boundaries (Section V-D). Inter-word gaps detected in the timestamp stream (t_{i+1}^s − t_i^e above a threshold) are rendered as labial closure poses, reproducing natural inter-word mouth closures.</w:t>
      </w:r>
    </w:p>
    <w:p>
      <w:pPr>
        <w:spacing w:before="200"/>
      </w:pPr>
      <w:r>
        <w:rPr>
          <w:b/>
          <w:color w:val="2E74B5"/>
          <w:sz w:val="22"/>
        </w:rPr>
        <w:t>D. Layer 3 — Kernel Co-Articulated ARKit Viseme Synthesis</w:t>
      </w:r>
    </w:p>
    <w:p>
      <w:pPr>
        <w:jc w:val="both"/>
      </w:pPr>
      <w:r>
        <w:rPr>
          <w:sz w:val="21"/>
        </w:rPr>
        <w:t>Each phoneme class maps through a table V: p ↦ V(p) ∈ [0,1]^M of target intensities over the 14 ARKit mouth channels (JawOpen, MouthClose, MouthFunnel, MouthPucker, MouthStretchL/R, MouthUpperUpL/R, MouthLowerDownL/R, MouthShrugUpper, MouthRollLower, MouthDimpleL/R), extending the grapheme-class table of the deployed variant to the full ARPAbet and Turkish phoneme inventories (released with the source). Table 3 lists representative entries.</w:t>
      </w:r>
    </w:p>
    <w:p>
      <w:pPr>
        <w:jc w:val="both"/>
      </w:pPr>
      <w:r>
        <w:rPr>
          <w:b/>
          <w:sz w:val="21"/>
        </w:rPr>
        <w:t>TABLE 3.</w:t>
      </w:r>
      <w:r>
        <w:rPr>
          <w:sz w:val="21"/>
        </w:rPr>
        <w:t xml:space="preserve"> Representative phoneme-class → ARKit viseme targets (excerpt; full table in the released source).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Class</w:t>
            </w:r>
          </w:p>
        </w:tc>
        <w:tc>
          <w:tcPr>
            <w:tcW w:type="dxa" w:w="3249"/>
            <w:shd w:val="clear" w:fill="BDD7EE"/>
          </w:tcPr>
          <w:p>
            <w:r>
              <w:rPr>
                <w:b/>
                <w:sz w:val="19"/>
              </w:rPr>
              <w:t>Examples</w:t>
            </w:r>
          </w:p>
        </w:tc>
        <w:tc>
          <w:tcPr>
            <w:tcW w:type="dxa" w:w="3249"/>
            <w:shd w:val="clear" w:fill="BDD7EE"/>
          </w:tcPr>
          <w:p>
            <w:r>
              <w:rPr>
                <w:b/>
                <w:sz w:val="19"/>
              </w:rPr>
              <w:t>Dominant targets</w:t>
            </w:r>
          </w:p>
        </w:tc>
      </w:tr>
      <w:tr>
        <w:tc>
          <w:tcPr>
            <w:tcW w:type="dxa" w:w="3249"/>
          </w:tcPr>
          <w:p>
            <w:r>
              <w:rPr>
                <w:sz w:val="19"/>
              </w:rPr>
              <w:t>Open vowel</w:t>
            </w:r>
          </w:p>
        </w:tc>
        <w:tc>
          <w:tcPr>
            <w:tcW w:type="dxa" w:w="3249"/>
          </w:tcPr>
          <w:p>
            <w:r>
              <w:rPr>
                <w:sz w:val="19"/>
              </w:rPr>
              <w:t>AA, AE / a</w:t>
            </w:r>
          </w:p>
        </w:tc>
        <w:tc>
          <w:tcPr>
            <w:tcW w:type="dxa" w:w="3249"/>
          </w:tcPr>
          <w:p>
            <w:r>
              <w:rPr>
                <w:sz w:val="19"/>
              </w:rPr>
              <w:t>JawOpen 0.60, MouthLowerDown 0.35</w:t>
            </w:r>
          </w:p>
        </w:tc>
      </w:tr>
      <w:tr>
        <w:tc>
          <w:tcPr>
            <w:tcW w:type="dxa" w:w="3249"/>
          </w:tcPr>
          <w:p>
            <w:r>
              <w:rPr>
                <w:sz w:val="19"/>
              </w:rPr>
              <w:t>Spread vowel</w:t>
            </w:r>
          </w:p>
        </w:tc>
        <w:tc>
          <w:tcPr>
            <w:tcW w:type="dxa" w:w="3249"/>
          </w:tcPr>
          <w:p>
            <w:r>
              <w:rPr>
                <w:sz w:val="19"/>
              </w:rPr>
              <w:t>IY, EH / i, e</w:t>
            </w:r>
          </w:p>
        </w:tc>
        <w:tc>
          <w:tcPr>
            <w:tcW w:type="dxa" w:w="3249"/>
          </w:tcPr>
          <w:p>
            <w:r>
              <w:rPr>
                <w:sz w:val="19"/>
              </w:rPr>
              <w:t>MouthStretch 0.42–0.52, JawOpen 0.18–0.32</w:t>
            </w:r>
          </w:p>
        </w:tc>
      </w:tr>
      <w:tr>
        <w:tc>
          <w:tcPr>
            <w:tcW w:type="dxa" w:w="3249"/>
          </w:tcPr>
          <w:p>
            <w:r>
              <w:rPr>
                <w:sz w:val="19"/>
              </w:rPr>
              <w:t>Rounded vowel</w:t>
            </w:r>
          </w:p>
        </w:tc>
        <w:tc>
          <w:tcPr>
            <w:tcW w:type="dxa" w:w="3249"/>
          </w:tcPr>
          <w:p>
            <w:r>
              <w:rPr>
                <w:sz w:val="19"/>
              </w:rPr>
              <w:t>OW, UW / o, u, ö, ü</w:t>
            </w:r>
          </w:p>
        </w:tc>
        <w:tc>
          <w:tcPr>
            <w:tcW w:type="dxa" w:w="3249"/>
          </w:tcPr>
          <w:p>
            <w:r>
              <w:rPr>
                <w:sz w:val="19"/>
              </w:rPr>
              <w:t>MouthPucker 0.18–0.58, MouthFunnel 0.38–0.42</w:t>
            </w:r>
          </w:p>
        </w:tc>
      </w:tr>
      <w:tr>
        <w:tc>
          <w:tcPr>
            <w:tcW w:type="dxa" w:w="3249"/>
          </w:tcPr>
          <w:p>
            <w:r>
              <w:rPr>
                <w:sz w:val="19"/>
              </w:rPr>
              <w:t>Bilabial</w:t>
            </w:r>
          </w:p>
        </w:tc>
        <w:tc>
          <w:tcPr>
            <w:tcW w:type="dxa" w:w="3249"/>
          </w:tcPr>
          <w:p>
            <w:r>
              <w:rPr>
                <w:sz w:val="19"/>
              </w:rPr>
              <w:t>M, B, P</w:t>
            </w:r>
          </w:p>
        </w:tc>
        <w:tc>
          <w:tcPr>
            <w:tcW w:type="dxa" w:w="3249"/>
          </w:tcPr>
          <w:p>
            <w:r>
              <w:rPr>
                <w:sz w:val="19"/>
              </w:rPr>
              <w:t>MouthClose 0.65–0.92, JawOpen ≤ 0.04</w:t>
            </w:r>
          </w:p>
        </w:tc>
      </w:tr>
      <w:tr>
        <w:tc>
          <w:tcPr>
            <w:tcW w:type="dxa" w:w="3249"/>
          </w:tcPr>
          <w:p>
            <w:r>
              <w:rPr>
                <w:sz w:val="19"/>
              </w:rPr>
              <w:t>Labiodental</w:t>
            </w:r>
          </w:p>
        </w:tc>
        <w:tc>
          <w:tcPr>
            <w:tcW w:type="dxa" w:w="3249"/>
          </w:tcPr>
          <w:p>
            <w:r>
              <w:rPr>
                <w:sz w:val="19"/>
              </w:rPr>
              <w:t>F, V</w:t>
            </w:r>
          </w:p>
        </w:tc>
        <w:tc>
          <w:tcPr>
            <w:tcW w:type="dxa" w:w="3249"/>
          </w:tcPr>
          <w:p>
            <w:r>
              <w:rPr>
                <w:sz w:val="19"/>
              </w:rPr>
              <w:t>MouthUpperUp 0.48–0.58, JawOpen ≤ 0.08</w:t>
            </w:r>
          </w:p>
        </w:tc>
      </w:tr>
      <w:tr>
        <w:tc>
          <w:tcPr>
            <w:tcW w:type="dxa" w:w="3249"/>
          </w:tcPr>
          <w:p>
            <w:r>
              <w:rPr>
                <w:sz w:val="19"/>
              </w:rPr>
              <w:t>Sibilant</w:t>
            </w:r>
          </w:p>
        </w:tc>
        <w:tc>
          <w:tcPr>
            <w:tcW w:type="dxa" w:w="3249"/>
          </w:tcPr>
          <w:p>
            <w:r>
              <w:rPr>
                <w:sz w:val="19"/>
              </w:rPr>
              <w:t>S, Z, SH / s, z, ş</w:t>
            </w:r>
          </w:p>
        </w:tc>
        <w:tc>
          <w:tcPr>
            <w:tcW w:type="dxa" w:w="3249"/>
          </w:tcPr>
          <w:p>
            <w:r>
              <w:rPr>
                <w:sz w:val="19"/>
              </w:rPr>
              <w:t>MouthStretch 0.22–0.28, JawOpen ≤ 0.10</w:t>
            </w:r>
          </w:p>
        </w:tc>
      </w:tr>
      <w:tr>
        <w:tc>
          <w:tcPr>
            <w:tcW w:type="dxa" w:w="3249"/>
          </w:tcPr>
          <w:p>
            <w:r>
              <w:rPr>
                <w:sz w:val="19"/>
              </w:rPr>
              <w:t>Inter-word gap</w:t>
            </w:r>
          </w:p>
        </w:tc>
        <w:tc>
          <w:tcPr>
            <w:tcW w:type="dxa" w:w="3249"/>
          </w:tcPr>
          <w:p>
            <w:r>
              <w:rPr>
                <w:sz w:val="19"/>
              </w:rPr>
              <w:t>—</w:t>
            </w:r>
          </w:p>
        </w:tc>
        <w:tc>
          <w:tcPr>
            <w:tcW w:type="dxa" w:w="3249"/>
          </w:tcPr>
          <w:p>
            <w:r>
              <w:rPr>
                <w:sz w:val="19"/>
              </w:rPr>
              <w:t>MouthClose 0.28, JawOpen 0.04</w:t>
            </w:r>
          </w:p>
        </w:tc>
      </w:tr>
      <w:tr>
        <w:tc>
          <w:tcPr>
            <w:tcW w:type="dxa" w:w="3249"/>
          </w:tcPr>
          <w:p>
            <w:r>
              <w:rPr>
                <w:sz w:val="19"/>
              </w:rPr>
              <w:t>Default consonant</w:t>
            </w:r>
          </w:p>
        </w:tc>
        <w:tc>
          <w:tcPr>
            <w:tcW w:type="dxa" w:w="3249"/>
          </w:tcPr>
          <w:p>
            <w:r>
              <w:rPr>
                <w:sz w:val="19"/>
              </w:rPr>
              <w:t>other</w:t>
            </w:r>
          </w:p>
        </w:tc>
        <w:tc>
          <w:tcPr>
            <w:tcW w:type="dxa" w:w="3249"/>
          </w:tcPr>
          <w:p>
            <w:r>
              <w:rPr>
                <w:sz w:val="19"/>
              </w:rPr>
              <w:t>JawOpen 0.12, MouthShrugUpper 0.08</w:t>
            </w:r>
          </w:p>
        </w:tc>
      </w:tr>
    </w:tbl>
    <w:p/>
    <w:p>
      <w:pPr>
        <w:jc w:val="both"/>
      </w:pPr>
      <w:r>
        <w:rPr>
          <w:sz w:val="21"/>
        </w:rPr>
        <w:t>Frames are synthesized at 60 fps by normalized Gaussian-kernel regression over the timed phoneme impulse train — a continuous co-articulation model in the spirit of Cohen–Massaro dominance functions [41]:</w:t>
      </w:r>
    </w:p>
    <w:p>
      <w:pPr>
        <w:jc w:val="center"/>
      </w:pPr>
      <w:r>
        <w:rPr>
          <w:i/>
          <w:sz w:val="21"/>
        </w:rPr>
        <w:t>b_k(t) = Σ_j V_k(p_j) · K_σ(t − τ_j) / max(ε, Σ_j K_σ(t − τ_j)),  K_σ(u) = exp(−u² / 2σ²),  (6)</w:t>
      </w:r>
    </w:p>
    <w:p>
      <w:pPr>
        <w:jc w:val="both"/>
      </w:pPr>
      <w:r>
        <w:rPr>
          <w:sz w:val="21"/>
        </w:rPr>
        <w:t>with σ = 30 ms controlling co-articulatory overlap: each frame is a duration-weighted blend of the phonemes within ±3σ, so adjacent visemes merge smoothly rather than snapping, and kernel support truncation keeps the per-frame cost at O(M · J_local) with J_local ≤ 5.</w:t>
      </w:r>
    </w:p>
    <w:p>
      <w:pPr>
        <w:jc w:val="both"/>
      </w:pPr>
      <w:r>
        <w:rPr>
          <w:sz w:val="21"/>
        </w:rPr>
        <w:t xml:space="preserve">Plain kernel averaging has one perceptually fatal flaw: brief bilabial closures (/m, b, p/) are averaged away by their open-mouthed neighbors — precisely the events viewers monitor most. A </w:t>
      </w:r>
      <w:r>
        <w:rPr>
          <w:b/>
          <w:sz w:val="21"/>
        </w:rPr>
        <w:t>closure-dominance rule</w:t>
      </w:r>
      <w:r>
        <w:rPr>
          <w:sz w:val="21"/>
        </w:rPr>
        <w:t xml:space="preserve"> therefore overrides Eq. (6) for the MouthClose channel:</w:t>
      </w:r>
    </w:p>
    <w:p>
      <w:pPr>
        <w:jc w:val="center"/>
      </w:pPr>
      <w:r>
        <w:rPr>
          <w:i/>
          <w:sz w:val="21"/>
        </w:rPr>
        <w:t>b_close(t) = max_j { V_close(p_j) · K_σ(t − τ_j) : p_j ∈ bilabial },  (7)</w:t>
      </w:r>
    </w:p>
    <w:p>
      <w:pPr>
        <w:jc w:val="both"/>
      </w:pPr>
      <w:r>
        <w:rPr>
          <w:sz w:val="21"/>
        </w:rPr>
        <w:t>a winner-take-all within the kernel support that guarantees visible lip contact at every bilabial event, with JawOpen reciprocally suppressed. The resulting 14-channel frames are streamed with the audio to the avatar client, which presents both on the common playout clock (Section IV-B); at turn completion the channels decay to the neutral closure pose, guaranteeing the mouth never remains open after speech.</w:t>
      </w:r>
    </w:p>
    <w:p>
      <w:pPr>
        <w:spacing w:before="200"/>
      </w:pPr>
      <w:r>
        <w:rPr>
          <w:b/>
          <w:color w:val="2E74B5"/>
          <w:sz w:val="22"/>
        </w:rPr>
        <w:t>E. Latency Budget and Complexity</w:t>
      </w:r>
    </w:p>
    <w:p>
      <w:pPr>
        <w:jc w:val="both"/>
      </w:pPr>
      <w:r>
        <w:rPr>
          <w:sz w:val="21"/>
        </w:rPr>
        <w:t>Layer-2 and Layer-3 costs are negligible: G2P is a dictionary/rule lookup, and frame synthesis is O(M · J_local) arithmetic. Standalone component benchmarking (Section V-E) measures per-frame Layer-3 synthesis time of 0.049 ms (median) / 0.070 ms (P95) — three orders of magnitude below the 50 ms design target — and per-word Layer-2 (G2P + Eq. 4-5 duration estimation) time of 0.005 ms / 0.042 ms, with combined CPU occupancy of 0.29% of one core at 60 fps rendering and 2.5 words/s. The budget is therefore dominated entirely by Layer 1: with a compact (tiny, int8) multilingual Whisper model on a commodity 4-core/8-thread x86_64 CPU (W = 3.2 s, h = 320 ms, g = 400 ms), word emission lag P95 = 214 ms for English, giving Δ ≈ 215 ms by Eq. (3). For Turkish the same model is markedly slower and less stable (P95 = 4.9 s); Section V-E reports this language asymmetry and Section VI-B discusses its implications for Δ sizing and model selection. The added voice-to-voice cost is exactly Δ; Section V-E quantifies the resulting figures.</w:t>
      </w:r>
    </w:p>
    <w:p>
      <w:pPr>
        <w:spacing w:before="200"/>
      </w:pPr>
      <w:r>
        <w:rPr>
          <w:b/>
          <w:color w:val="2E74B5"/>
          <w:sz w:val="22"/>
        </w:rPr>
        <w:t>F. Deployed Lightweight Variant (RATE)</w:t>
      </w:r>
    </w:p>
    <w:p>
      <w:pPr>
        <w:jc w:val="both"/>
      </w:pPr>
      <w:r>
        <w:rPr>
          <w:sz w:val="21"/>
        </w:rPr>
        <w:t xml:space="preserve">When the streaming recognizer is unavailable, A.T.L.A.S falls back to the variant currently shipping in production, which uses the API's own (untimed) output transcription: the character stream is consumed at a fixed articulation rate ρ = 13 chars/s through the grapheme-class viseme table, and the </w:t>
      </w:r>
      <w:r>
        <w:rPr>
          <w:i/>
          <w:sz w:val="21"/>
        </w:rPr>
        <w:t>visibility</w:t>
      </w:r>
      <w:r>
        <w:rPr>
          <w:sz w:val="21"/>
        </w:rPr>
        <w:t xml:space="preserve"> of articulation is re-synchronized to the audio multiplicatively by an asymmetric RMS amplitude envelope (attack α = 0.50, release α = 0.18; gain g = min(1.4, 2.2·E)), with per-channel first-order smoothing (β = 0.40) at 25 Hz. This variant is training-free, ASR-free, and adds zero latency, but its timing is open-loop: articulation shape and audio timing are coupled only through signal energy, and the schedule drifts within long utterances. It serves both as the production fallback and as the strongest deployed baseline (RATE) in the evaluation; complete equations are provided in the released source.</w:t>
      </w:r>
    </w:p>
    <w:p>
      <w:pPr>
        <w:spacing w:before="280"/>
      </w:pPr>
      <w:r>
        <w:rPr>
          <w:b/>
          <w:color w:val="1F3564"/>
          <w:sz w:val="25"/>
        </w:rPr>
        <w:t>V. OBJECTIVE EVALUATION</w:t>
      </w:r>
    </w:p>
    <w:p>
      <w:pPr>
        <w:spacing w:before="200"/>
      </w:pPr>
      <w:r>
        <w:rPr>
          <w:b/>
          <w:color w:val="2E74B5"/>
          <w:sz w:val="22"/>
        </w:rPr>
        <w:t>A. Conditions</w:t>
      </w:r>
    </w:p>
    <w:p>
      <w:pPr>
        <w:jc w:val="both"/>
      </w:pPr>
      <w:r>
        <w:rPr>
          <w:sz w:val="21"/>
        </w:rPr>
        <w:t xml:space="preserve">All comparisons use four </w:t>
      </w:r>
      <w:r>
        <w:rPr>
          <w:i/>
          <w:sz w:val="21"/>
        </w:rPr>
        <w:t>training-free</w:t>
      </w:r>
      <w:r>
        <w:rPr>
          <w:sz w:val="21"/>
        </w:rPr>
        <w:t xml:space="preserve"> conditions driving the identical VRM avatar with the identical audio:</w:t>
      </w:r>
    </w:p>
    <w:p>
      <w:pPr>
        <w:jc w:val="both"/>
      </w:pPr>
      <w:r>
        <w:rPr>
          <w:sz w:val="21"/>
        </w:rPr>
        <w:t xml:space="preserve">- </w:t>
      </w:r>
      <w:r>
        <w:rPr>
          <w:b/>
          <w:sz w:val="21"/>
        </w:rPr>
        <w:t>AMP (lower anchor).</w:t>
      </w:r>
      <w:r>
        <w:rPr>
          <w:sz w:val="21"/>
        </w:rPr>
        <w:t xml:space="preserve"> Amplitude-only articulation: JawOpen driven by a smoothed RMS envelope, all other channels at rest. This reproduces current industry practice for native-audio streams [22], [38].</w:t>
      </w:r>
    </w:p>
    <w:p>
      <w:pPr>
        <w:jc w:val="both"/>
      </w:pPr>
      <w:r>
        <w:rPr>
          <w:sz w:val="21"/>
        </w:rPr>
        <w:t xml:space="preserve">- </w:t>
      </w:r>
      <w:r>
        <w:rPr>
          <w:b/>
          <w:sz w:val="21"/>
        </w:rPr>
        <w:t>RATE (deployed baseline).</w:t>
      </w:r>
      <w:r>
        <w:rPr>
          <w:sz w:val="21"/>
        </w:rPr>
        <w:t xml:space="preserve"> The rate-scheduled, amplitude-resynchronized variant of Section IV-F — the strongest method available without word timing.</w:t>
      </w:r>
    </w:p>
    <w:p>
      <w:pPr>
        <w:jc w:val="both"/>
      </w:pPr>
      <w:r>
        <w:rPr>
          <w:sz w:val="21"/>
        </w:rPr>
        <w:t xml:space="preserve">- </w:t>
      </w:r>
      <w:r>
        <w:rPr>
          <w:b/>
          <w:sz w:val="21"/>
        </w:rPr>
        <w:t>TSYNC (proposed).</w:t>
      </w:r>
      <w:r>
        <w:rPr>
          <w:sz w:val="21"/>
        </w:rPr>
        <w:t xml:space="preserve"> The full TranscriptionSync pipeline of Sections IV-B–IV-D.</w:t>
      </w:r>
    </w:p>
    <w:p>
      <w:pPr>
        <w:jc w:val="both"/>
      </w:pPr>
      <w:r>
        <w:rPr>
          <w:sz w:val="21"/>
        </w:rPr>
        <w:t xml:space="preserve">- </w:t>
      </w:r>
      <w:r>
        <w:rPr>
          <w:b/>
          <w:sz w:val="21"/>
        </w:rPr>
        <w:t>MFA (upper anchor, non-causal oracle).</w:t>
      </w:r>
      <w:r>
        <w:rPr>
          <w:sz w:val="21"/>
        </w:rPr>
        <w:t xml:space="preserve"> The complete utterance audio and reference transcript are aligned offline with the Montreal Forced Aligner [9]; true phoneme timestamps drive the same viseme table and kernel synthesis (Eqs. 6–7 with estimated timing replaced by aligned timing). This bounds what any causal method could achieve with the same viseme inventory, at the cost of non-causality (unusable live).</w:t>
      </w:r>
    </w:p>
    <w:p>
      <w:pPr>
        <w:jc w:val="both"/>
      </w:pPr>
      <w:r>
        <w:rPr>
          <w:sz w:val="21"/>
        </w:rPr>
        <w:t xml:space="preserve">Two ablations of TSYNC isolate the contribution of each Layer-2/3 mechanism: </w:t>
      </w:r>
      <w:r>
        <w:rPr>
          <w:b/>
          <w:sz w:val="21"/>
        </w:rPr>
        <w:t>TSYNC−dur</w:t>
      </w:r>
      <w:r>
        <w:rPr>
          <w:sz w:val="21"/>
        </w:rPr>
        <w:t xml:space="preserve"> (uniform within-word durations, d_j = T_i/J, replacing the class priors of Eq. 4) and </w:t>
      </w:r>
      <w:r>
        <w:rPr>
          <w:b/>
          <w:sz w:val="21"/>
        </w:rPr>
        <w:t>TSYNC−coart</w:t>
      </w:r>
      <w:r>
        <w:rPr>
          <w:sz w:val="21"/>
        </w:rPr>
        <w:t xml:space="preserve"> (nearest-phoneme step targets replacing the kernel regression of Eq. 6).</w:t>
      </w:r>
    </w:p>
    <w:p>
      <w:pPr>
        <w:spacing w:before="200"/>
      </w:pPr>
      <w:r>
        <w:rPr>
          <w:b/>
          <w:color w:val="2E74B5"/>
          <w:sz w:val="22"/>
        </w:rPr>
        <w:t>B. Test Material and Metrics</w:t>
      </w:r>
    </w:p>
    <w:p>
      <w:pPr>
        <w:jc w:val="both"/>
      </w:pPr>
      <w:r>
        <w:rPr>
          <w:sz w:val="21"/>
        </w:rPr>
        <w:t>We collect N = 50 response utterances from the live system across two task batches (</w:t>
      </w:r>
      <w:r>
        <w:rPr>
          <w:rFonts w:ascii="Consolas" w:hAnsi="Consolas"/>
          <w:sz w:val="19"/>
        </w:rPr>
        <w:t>summary</w:t>
      </w:r>
      <w:r>
        <w:rPr>
          <w:sz w:val="21"/>
        </w:rPr>
        <w:t xml:space="preserve">, </w:t>
      </w:r>
      <w:r>
        <w:rPr>
          <w:rFonts w:ascii="Consolas" w:hAnsi="Consolas"/>
          <w:sz w:val="19"/>
        </w:rPr>
        <w:t>task</w:t>
      </w:r>
      <w:r>
        <w:rPr>
          <w:sz w:val="21"/>
        </w:rPr>
        <w:t xml:space="preserve">) and English, recording the 24 kHz audio and the rendered avatar at 1080p/60 fps with frame-accurate audio muxing. Objective synchronization is measured with a pretrained SyncNet [40] on the rendered videos: </w:t>
      </w:r>
      <w:r>
        <w:rPr>
          <w:b/>
          <w:sz w:val="21"/>
        </w:rPr>
        <w:t>LSE-D</w:t>
      </w:r>
      <w:r>
        <w:rPr>
          <w:sz w:val="21"/>
        </w:rPr>
        <w:t xml:space="preserve"> (lip-sync error distance, lower is better) and </w:t>
      </w:r>
      <w:r>
        <w:rPr>
          <w:b/>
          <w:sz w:val="21"/>
        </w:rPr>
        <w:t>LSE-C</w:t>
      </w:r>
      <w:r>
        <w:rPr>
          <w:sz w:val="21"/>
        </w:rPr>
        <w:t xml:space="preserve"> (confidence, higher is better), the standard metrics of the talking-head literature [21]. We additionally report </w:t>
      </w:r>
      <w:r>
        <w:rPr>
          <w:b/>
          <w:sz w:val="21"/>
        </w:rPr>
        <w:t>LVD</w:t>
      </w:r>
      <w:r>
        <w:rPr>
          <w:sz w:val="21"/>
        </w:rPr>
        <w:t xml:space="preserve"> (lip vertex distance): the mean per-frame L2 distance over the lip-region vertices of the VRM mesh between each condition and the MFA-oracle-driven mesh, in normalized model units (by construction MFA serves as the reference and reports no LVD); </w:t>
      </w:r>
      <w:r>
        <w:rPr>
          <w:b/>
          <w:sz w:val="21"/>
        </w:rPr>
        <w:t>phoneme timing error</w:t>
      </w:r>
      <w:r>
        <w:rPr>
          <w:sz w:val="21"/>
        </w:rPr>
        <w:t xml:space="preserve"> (mean absolute word-start deviation from forced alignment, for phoneme-timed conditions); and the optimal cross-correlation </w:t>
      </w:r>
      <w:r>
        <w:rPr>
          <w:b/>
          <w:sz w:val="21"/>
        </w:rPr>
        <w:t>lag</w:t>
      </w:r>
      <w:r>
        <w:rPr>
          <w:sz w:val="21"/>
        </w:rPr>
        <w:t xml:space="preserve"> between the rendered mouth-opening signal and the audio envelope as a direct measure of audio–visual offset. SyncNet is trained on natural human-face video; its applicability to a stylized VRM render was not independently validated against a desynchronization sanity check before the main evaluation, a gap discussed alongside the LSE-D/LSE-C results below (Section V-C) and revisited as a limitation (Section VI-B).</w:t>
      </w:r>
    </w:p>
    <w:p>
      <w:pPr>
        <w:spacing w:before="200"/>
      </w:pPr>
      <w:r>
        <w:rPr>
          <w:b/>
          <w:color w:val="2E74B5"/>
          <w:sz w:val="22"/>
        </w:rPr>
        <w:t>C. Synchronization Results</w:t>
      </w:r>
    </w:p>
    <w:p>
      <w:pPr>
        <w:jc w:val="both"/>
      </w:pPr>
      <w:r>
        <w:rPr>
          <w:b/>
          <w:sz w:val="21"/>
        </w:rPr>
        <w:t>TABLE 4.</w:t>
      </w:r>
      <w:r>
        <w:rPr>
          <w:sz w:val="21"/>
        </w:rPr>
        <w:t xml:space="preserve"> Objective synchronization by condition; mean (SD) over N = 50 rendered utterances (six conditions × 50 = 300 videos). SyncNet face detection succeeded on 45–46/50 renders per condition (remainder returned no score and are excluded from LSE-D/LSE-C); LVD and lag are computed on all 50/50.</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BDD7EE"/>
          </w:tcPr>
          <w:p>
            <w:r>
              <w:rPr>
                <w:b/>
                <w:sz w:val="19"/>
              </w:rPr>
              <w:t>Condition</w:t>
            </w:r>
          </w:p>
        </w:tc>
        <w:tc>
          <w:tcPr>
            <w:tcW w:type="dxa" w:w="1624"/>
            <w:shd w:val="clear" w:fill="BDD7EE"/>
          </w:tcPr>
          <w:p>
            <w:r>
              <w:rPr>
                <w:b/>
                <w:sz w:val="19"/>
              </w:rPr>
              <w:t>LSE-D ↓</w:t>
            </w:r>
          </w:p>
        </w:tc>
        <w:tc>
          <w:tcPr>
            <w:tcW w:type="dxa" w:w="1624"/>
            <w:shd w:val="clear" w:fill="BDD7EE"/>
          </w:tcPr>
          <w:p>
            <w:r>
              <w:rPr>
                <w:b/>
                <w:sz w:val="19"/>
              </w:rPr>
              <w:t>LSE-C ↑</w:t>
            </w:r>
          </w:p>
        </w:tc>
        <w:tc>
          <w:tcPr>
            <w:tcW w:type="dxa" w:w="1624"/>
            <w:shd w:val="clear" w:fill="BDD7EE"/>
          </w:tcPr>
          <w:p>
            <w:r>
              <w:rPr>
                <w:b/>
                <w:sz w:val="19"/>
              </w:rPr>
              <w:t>LVD ↓</w:t>
            </w:r>
          </w:p>
        </w:tc>
        <w:tc>
          <w:tcPr>
            <w:tcW w:type="dxa" w:w="1624"/>
            <w:shd w:val="clear" w:fill="BDD7EE"/>
          </w:tcPr>
          <w:p>
            <w:r>
              <w:rPr>
                <w:b/>
                <w:sz w:val="19"/>
              </w:rPr>
              <w:t>Timing err. (ms)</w:t>
            </w:r>
          </w:p>
        </w:tc>
        <w:tc>
          <w:tcPr>
            <w:tcW w:type="dxa" w:w="1624"/>
            <w:shd w:val="clear" w:fill="BDD7EE"/>
          </w:tcPr>
          <w:p>
            <w:r>
              <w:rPr>
                <w:b/>
                <w:sz w:val="19"/>
              </w:rPr>
              <w:t>Lag (ms)</w:t>
            </w:r>
          </w:p>
        </w:tc>
      </w:tr>
      <w:tr>
        <w:tc>
          <w:tcPr>
            <w:tcW w:type="dxa" w:w="1624"/>
          </w:tcPr>
          <w:p>
            <w:r>
              <w:rPr>
                <w:sz w:val="19"/>
              </w:rPr>
              <w:t>AMP (lower)</w:t>
            </w:r>
          </w:p>
        </w:tc>
        <w:tc>
          <w:tcPr>
            <w:tcW w:type="dxa" w:w="1624"/>
          </w:tcPr>
          <w:p>
            <w:r>
              <w:rPr>
                <w:sz w:val="19"/>
              </w:rPr>
              <w:t>11.66 (0.39)</w:t>
            </w:r>
          </w:p>
        </w:tc>
        <w:tc>
          <w:tcPr>
            <w:tcW w:type="dxa" w:w="1624"/>
          </w:tcPr>
          <w:p>
            <w:r>
              <w:rPr>
                <w:sz w:val="19"/>
              </w:rPr>
              <w:t>2.88 (0.35)</w:t>
            </w:r>
          </w:p>
        </w:tc>
        <w:tc>
          <w:tcPr>
            <w:tcW w:type="dxa" w:w="1624"/>
          </w:tcPr>
          <w:p>
            <w:r>
              <w:rPr>
                <w:sz w:val="19"/>
              </w:rPr>
              <w:t>0.520 (0.029)</w:t>
            </w:r>
          </w:p>
        </w:tc>
        <w:tc>
          <w:tcPr>
            <w:tcW w:type="dxa" w:w="1624"/>
          </w:tcPr>
          <w:p>
            <w:r>
              <w:rPr>
                <w:sz w:val="19"/>
              </w:rPr>
              <w:t>—</w:t>
            </w:r>
          </w:p>
        </w:tc>
        <w:tc>
          <w:tcPr>
            <w:tcW w:type="dxa" w:w="1624"/>
          </w:tcPr>
          <w:p>
            <w:r>
              <w:rPr>
                <w:sz w:val="19"/>
              </w:rPr>
              <w:t>0.0 (0.0)</w:t>
            </w:r>
          </w:p>
        </w:tc>
      </w:tr>
      <w:tr>
        <w:tc>
          <w:tcPr>
            <w:tcW w:type="dxa" w:w="1624"/>
          </w:tcPr>
          <w:p>
            <w:r>
              <w:rPr>
                <w:sz w:val="19"/>
              </w:rPr>
              <w:t>RATE (deployed)</w:t>
            </w:r>
          </w:p>
        </w:tc>
        <w:tc>
          <w:tcPr>
            <w:tcW w:type="dxa" w:w="1624"/>
          </w:tcPr>
          <w:p>
            <w:r>
              <w:rPr>
                <w:sz w:val="19"/>
              </w:rPr>
              <w:t>13.49 (0.41)</w:t>
            </w:r>
          </w:p>
        </w:tc>
        <w:tc>
          <w:tcPr>
            <w:tcW w:type="dxa" w:w="1624"/>
          </w:tcPr>
          <w:p>
            <w:r>
              <w:rPr>
                <w:sz w:val="19"/>
              </w:rPr>
              <w:t>0.79 (0.32)</w:t>
            </w:r>
          </w:p>
        </w:tc>
        <w:tc>
          <w:tcPr>
            <w:tcW w:type="dxa" w:w="1624"/>
          </w:tcPr>
          <w:p>
            <w:r>
              <w:rPr>
                <w:sz w:val="19"/>
              </w:rPr>
              <w:t>0.556 (0.030)</w:t>
            </w:r>
          </w:p>
        </w:tc>
        <w:tc>
          <w:tcPr>
            <w:tcW w:type="dxa" w:w="1624"/>
          </w:tcPr>
          <w:p>
            <w:r>
              <w:rPr>
                <w:sz w:val="19"/>
              </w:rPr>
              <w:t>—</w:t>
            </w:r>
          </w:p>
        </w:tc>
        <w:tc>
          <w:tcPr>
            <w:tcW w:type="dxa" w:w="1624"/>
          </w:tcPr>
          <w:p>
            <w:r>
              <w:rPr>
                <w:sz w:val="19"/>
              </w:rPr>
              <w:t>91.0 (31.1)</w:t>
            </w:r>
          </w:p>
        </w:tc>
      </w:tr>
      <w:tr>
        <w:tc>
          <w:tcPr>
            <w:tcW w:type="dxa" w:w="1624"/>
          </w:tcPr>
          <w:p>
            <w:r>
              <w:rPr>
                <w:sz w:val="19"/>
              </w:rPr>
              <w:t>TSYNC−dur</w:t>
            </w:r>
          </w:p>
        </w:tc>
        <w:tc>
          <w:tcPr>
            <w:tcW w:type="dxa" w:w="1624"/>
          </w:tcPr>
          <w:p>
            <w:r>
              <w:rPr>
                <w:sz w:val="19"/>
              </w:rPr>
              <w:t>13.14 (0.39)</w:t>
            </w:r>
          </w:p>
        </w:tc>
        <w:tc>
          <w:tcPr>
            <w:tcW w:type="dxa" w:w="1624"/>
          </w:tcPr>
          <w:p>
            <w:r>
              <w:rPr>
                <w:sz w:val="19"/>
              </w:rPr>
              <w:t>1.39 (0.32)</w:t>
            </w:r>
          </w:p>
        </w:tc>
        <w:tc>
          <w:tcPr>
            <w:tcW w:type="dxa" w:w="1624"/>
          </w:tcPr>
          <w:p>
            <w:r>
              <w:rPr>
                <w:sz w:val="19"/>
              </w:rPr>
              <w:t>0.461 (0.062)</w:t>
            </w:r>
          </w:p>
        </w:tc>
        <w:tc>
          <w:tcPr>
            <w:tcW w:type="dxa" w:w="1624"/>
          </w:tcPr>
          <w:p>
            <w:r>
              <w:rPr>
                <w:sz w:val="19"/>
              </w:rPr>
              <w:t>1380.9 (698.0)</w:t>
            </w:r>
          </w:p>
        </w:tc>
        <w:tc>
          <w:tcPr>
            <w:tcW w:type="dxa" w:w="1624"/>
          </w:tcPr>
          <w:p>
            <w:r>
              <w:rPr>
                <w:sz w:val="19"/>
              </w:rPr>
              <w:t>−42.7 (84.4)</w:t>
            </w:r>
          </w:p>
        </w:tc>
      </w:tr>
      <w:tr>
        <w:tc>
          <w:tcPr>
            <w:tcW w:type="dxa" w:w="1624"/>
          </w:tcPr>
          <w:p>
            <w:r>
              <w:rPr>
                <w:sz w:val="19"/>
              </w:rPr>
              <w:t>TSYNC−coart</w:t>
            </w:r>
          </w:p>
        </w:tc>
        <w:tc>
          <w:tcPr>
            <w:tcW w:type="dxa" w:w="1624"/>
          </w:tcPr>
          <w:p>
            <w:r>
              <w:rPr>
                <w:sz w:val="19"/>
              </w:rPr>
              <w:t>13.29 (0.37)</w:t>
            </w:r>
          </w:p>
        </w:tc>
        <w:tc>
          <w:tcPr>
            <w:tcW w:type="dxa" w:w="1624"/>
          </w:tcPr>
          <w:p>
            <w:r>
              <w:rPr>
                <w:sz w:val="19"/>
              </w:rPr>
              <w:t>0.85 (0.24)</w:t>
            </w:r>
          </w:p>
        </w:tc>
        <w:tc>
          <w:tcPr>
            <w:tcW w:type="dxa" w:w="1624"/>
          </w:tcPr>
          <w:p>
            <w:r>
              <w:rPr>
                <w:sz w:val="19"/>
              </w:rPr>
              <w:t>0.645 (0.046)</w:t>
            </w:r>
          </w:p>
        </w:tc>
        <w:tc>
          <w:tcPr>
            <w:tcW w:type="dxa" w:w="1624"/>
          </w:tcPr>
          <w:p>
            <w:r>
              <w:rPr>
                <w:sz w:val="19"/>
              </w:rPr>
              <w:t>1380.9 (698.0)</w:t>
            </w:r>
          </w:p>
        </w:tc>
        <w:tc>
          <w:tcPr>
            <w:tcW w:type="dxa" w:w="1624"/>
          </w:tcPr>
          <w:p>
            <w:r>
              <w:rPr>
                <w:sz w:val="19"/>
              </w:rPr>
              <w:t>−109.3 (30.4)</w:t>
            </w:r>
          </w:p>
        </w:tc>
      </w:tr>
      <w:tr>
        <w:tc>
          <w:tcPr>
            <w:tcW w:type="dxa" w:w="1624"/>
          </w:tcPr>
          <w:p>
            <w:r>
              <w:rPr>
                <w:b/>
                <w:sz w:val="19"/>
              </w:rPr>
              <w:t>TSYNC (ours)</w:t>
            </w:r>
          </w:p>
        </w:tc>
        <w:tc>
          <w:tcPr>
            <w:tcW w:type="dxa" w:w="1624"/>
          </w:tcPr>
          <w:p>
            <w:r>
              <w:rPr>
                <w:sz w:val="19"/>
              </w:rPr>
              <w:t>13.15 (0.36)</w:t>
            </w:r>
          </w:p>
        </w:tc>
        <w:tc>
          <w:tcPr>
            <w:tcW w:type="dxa" w:w="1624"/>
          </w:tcPr>
          <w:p>
            <w:r>
              <w:rPr>
                <w:sz w:val="19"/>
              </w:rPr>
              <w:t>1.36 (0.29)</w:t>
            </w:r>
          </w:p>
        </w:tc>
        <w:tc>
          <w:tcPr>
            <w:tcW w:type="dxa" w:w="1624"/>
          </w:tcPr>
          <w:p>
            <w:r>
              <w:rPr>
                <w:b/>
                <w:sz w:val="19"/>
              </w:rPr>
              <w:t>0.461 (0.065)</w:t>
            </w:r>
          </w:p>
        </w:tc>
        <w:tc>
          <w:tcPr>
            <w:tcW w:type="dxa" w:w="1624"/>
          </w:tcPr>
          <w:p>
            <w:r>
              <w:rPr>
                <w:sz w:val="19"/>
              </w:rPr>
              <w:t>1380.9 (698.0)</w:t>
            </w:r>
          </w:p>
        </w:tc>
        <w:tc>
          <w:tcPr>
            <w:tcW w:type="dxa" w:w="1624"/>
          </w:tcPr>
          <w:p>
            <w:r>
              <w:rPr>
                <w:sz w:val="19"/>
              </w:rPr>
              <w:t>−52.7 (31.0)</w:t>
            </w:r>
          </w:p>
        </w:tc>
      </w:tr>
      <w:tr>
        <w:tc>
          <w:tcPr>
            <w:tcW w:type="dxa" w:w="1624"/>
          </w:tcPr>
          <w:p>
            <w:r>
              <w:rPr>
                <w:sz w:val="19"/>
              </w:rPr>
              <w:t>MFA (oracle)</w:t>
            </w:r>
          </w:p>
        </w:tc>
        <w:tc>
          <w:tcPr>
            <w:tcW w:type="dxa" w:w="1624"/>
          </w:tcPr>
          <w:p>
            <w:r>
              <w:rPr>
                <w:sz w:val="19"/>
              </w:rPr>
              <w:t>11.70 (0.54)</w:t>
            </w:r>
          </w:p>
        </w:tc>
        <w:tc>
          <w:tcPr>
            <w:tcW w:type="dxa" w:w="1624"/>
          </w:tcPr>
          <w:p>
            <w:r>
              <w:rPr>
                <w:sz w:val="19"/>
              </w:rPr>
              <w:t>2.90 (0.56)</w:t>
            </w:r>
          </w:p>
        </w:tc>
        <w:tc>
          <w:tcPr>
            <w:tcW w:type="dxa" w:w="1624"/>
          </w:tcPr>
          <w:p>
            <w:r>
              <w:rPr>
                <w:sz w:val="19"/>
              </w:rPr>
              <w:t>— (reference)</w:t>
            </w:r>
          </w:p>
        </w:tc>
        <w:tc>
          <w:tcPr>
            <w:tcW w:type="dxa" w:w="1624"/>
          </w:tcPr>
          <w:p>
            <w:r>
              <w:rPr>
                <w:sz w:val="19"/>
              </w:rPr>
              <w:t>0</w:t>
            </w:r>
          </w:p>
        </w:tc>
        <w:tc>
          <w:tcPr>
            <w:tcW w:type="dxa" w:w="1624"/>
          </w:tcPr>
          <w:p>
            <w:r>
              <w:rPr>
                <w:sz w:val="19"/>
              </w:rPr>
              <w:t>15.7 (27.2)</w:t>
            </w:r>
          </w:p>
        </w:tc>
      </w:tr>
    </w:tbl>
    <w:p/>
    <w:p>
      <w:pPr>
        <w:jc w:val="center"/>
      </w:pPr>
      <w:r>
        <w:drawing>
          <wp:inline xmlns:a="http://schemas.openxmlformats.org/drawingml/2006/main" xmlns:pic="http://schemas.openxmlformats.org/drawingml/2006/picture">
            <wp:extent cx="5486400" cy="2080517"/>
            <wp:docPr id="2" name="Picture 2"/>
            <wp:cNvGraphicFramePr>
              <a:graphicFrameLocks noChangeAspect="1"/>
            </wp:cNvGraphicFramePr>
            <a:graphic>
              <a:graphicData uri="http://schemas.openxmlformats.org/drawingml/2006/picture">
                <pic:pic>
                  <pic:nvPicPr>
                    <pic:cNvPr id="0" name="fig2_synchronization.png"/>
                    <pic:cNvPicPr/>
                  </pic:nvPicPr>
                  <pic:blipFill>
                    <a:blip r:embed="rId10"/>
                    <a:stretch>
                      <a:fillRect/>
                    </a:stretch>
                  </pic:blipFill>
                  <pic:spPr>
                    <a:xfrm>
                      <a:off x="0" y="0"/>
                      <a:ext cx="5486400" cy="2080517"/>
                    </a:xfrm>
                    <a:prstGeom prst="rect"/>
                  </pic:spPr>
                </pic:pic>
              </a:graphicData>
            </a:graphic>
          </wp:inline>
        </w:drawing>
      </w:r>
    </w:p>
    <w:p>
      <w:pPr>
        <w:jc w:val="both"/>
      </w:pPr>
      <w:r>
        <w:rPr>
          <w:b/>
          <w:sz w:val="21"/>
        </w:rPr>
        <w:t>FIGURE 2.</w:t>
      </w:r>
      <w:r>
        <w:rPr>
          <w:sz w:val="21"/>
        </w:rPr>
        <w:t xml:space="preserve"> Objective synchronization by condition (Table 4). (a) Lip vertex distance (LVD, lower is better): TSYNC and TSYNC−dur achieve the lowest LVD, closest to the MFA oracle, while removing kernel co-articulation (TSYNC−coart) is the worst condition. (b) SyncNet confidence (LSE-C, higher is better): AMP and MFA score highest and near-identically, while RATE, TSYNC, TSYNC−dur, and TSYNC−coart cluster together at lower values — SyncNet does not corroborate the LVD ordering (Section V-C).</w:t>
      </w:r>
    </w:p>
    <w:p>
      <w:pPr>
        <w:jc w:val="both"/>
      </w:pPr>
      <w:r>
        <w:rPr>
          <w:sz w:val="21"/>
        </w:rPr>
        <w:t>The real measurements yield a more nuanced picture than the design hypothesis, and we report it in full.</w:t>
      </w:r>
    </w:p>
    <w:p>
      <w:pPr>
        <w:jc w:val="both"/>
      </w:pPr>
      <w:r>
        <w:rPr>
          <w:b/>
          <w:sz w:val="21"/>
        </w:rPr>
        <w:t>LVD supports the design hypothesis, and isolates co-articulation as its source.</w:t>
      </w:r>
      <w:r>
        <w:rPr>
          <w:sz w:val="21"/>
        </w:rPr>
        <w:t xml:space="preserve"> TSYNC and TSYNC−dur both achieve the lowest LVD (0.461) — geometrically closer to the MFA-oracle mouth trajectory than AMP (0.520) or RATE (0.556) — while TSYNC−coart is the </w:t>
      </w:r>
      <w:r>
        <w:rPr>
          <w:i/>
          <w:sz w:val="21"/>
        </w:rPr>
        <w:t>worst</w:t>
      </w:r>
      <w:r>
        <w:rPr>
          <w:sz w:val="21"/>
        </w:rPr>
        <w:t xml:space="preserve"> condition (0.645), substantially above even AMP. Because TSYNC and TSYNC−dur are statistically indistinguishable on LVD, </w:t>
      </w:r>
      <w:r>
        <w:rPr>
          <w:b/>
          <w:sz w:val="21"/>
        </w:rPr>
        <w:t>the class-prior duration allocation of Eq. (4) contributes negligibly to geometric fidelity on this dataset</w:t>
      </w:r>
      <w:r>
        <w:rPr>
          <w:sz w:val="21"/>
        </w:rPr>
        <w:t xml:space="preserve">, whereas </w:t>
      </w:r>
      <w:r>
        <w:rPr>
          <w:b/>
          <w:sz w:val="21"/>
        </w:rPr>
        <w:t>kernel co-articulation (Eq. 6) is the dominant LVD mechanism</w:t>
      </w:r>
      <w:r>
        <w:rPr>
          <w:sz w:val="21"/>
        </w:rPr>
        <w:t>: removing it (TSYNC−coart, nearest-phoneme step targets) degrades LVD by 40% relative to TSYNC. This is the inverse of the ablation story anticipated from the GRID timing results (Section V-D), where duration estimation was the focus — on full-system rendered geometry, smooth co-articulated blending toward the oracle trajectory matters more than which phoneme receives which fraction of the word interval.</w:t>
      </w:r>
    </w:p>
    <w:p>
      <w:pPr>
        <w:jc w:val="both"/>
      </w:pPr>
      <w:r>
        <w:rPr>
          <w:b/>
          <w:sz w:val="21"/>
        </w:rPr>
        <w:t>Lag confirms TSYNC leads RATE and TSYNC−coart, but trails the oracle.</w:t>
      </w:r>
      <w:r>
        <w:rPr>
          <w:sz w:val="21"/>
        </w:rPr>
        <w:t xml:space="preserve"> AMP has lag 0 by construction (its JawOpen channel </w:t>
      </w:r>
      <w:r>
        <w:rPr>
          <w:i/>
          <w:sz w:val="21"/>
        </w:rPr>
        <w:t>is</w:t>
      </w:r>
      <w:r>
        <w:rPr>
          <w:sz w:val="21"/>
        </w:rPr>
        <w:t xml:space="preserve"> the audio envelope). MFA is nearly perfectly aligned (15.7 ms). TSYNC (−52.7 ms) and TSYNC−dur (−42.7 ms) lead the audio by roughly 40–55 ms — smaller in magnitude than RATE's +91.0 ms lag and TSYNC−coart's −109.3 ms — consistent with Layer 1's ASR-derived word timestamps introducing a small, systematic temporal lead relative to true articulation onset.</w:t>
      </w:r>
    </w:p>
    <w:p>
      <w:pPr>
        <w:jc w:val="both"/>
      </w:pPr>
      <w:r>
        <w:rPr>
          <w:b/>
          <w:sz w:val="21"/>
        </w:rPr>
        <w:t>SyncNet LSE-D/LSE-C do not corroborate the LVD result, and we report this as a negative finding rather than omit it.</w:t>
      </w:r>
      <w:r>
        <w:rPr>
          <w:sz w:val="21"/>
        </w:rPr>
        <w:t xml:space="preserve"> AMP and MFA score nearly identically and both </w:t>
      </w:r>
      <w:r>
        <w:rPr>
          <w:i/>
          <w:sz w:val="21"/>
        </w:rPr>
        <w:t>best</w:t>
      </w:r>
      <w:r>
        <w:rPr>
          <w:sz w:val="21"/>
        </w:rPr>
        <w:t xml:space="preserve"> (LSE-D ≈ 11.7, LSE-C ≈ 2.9), while RATE, TSYNC, TSYNC−dur, and TSYNC−coart cluster together and all score </w:t>
      </w:r>
      <w:r>
        <w:rPr>
          <w:i/>
          <w:sz w:val="21"/>
        </w:rPr>
        <w:t>worse</w:t>
      </w:r>
      <w:r>
        <w:rPr>
          <w:sz w:val="21"/>
        </w:rPr>
        <w:t xml:space="preserve"> (LSE-D ≈ 13.1–13.5, LSE-C ≈ 0.8–1.4) — SyncNet neither places TSYNC between AMP and MFA nor separates it from RATE. Section V-B flagged, as a precaution, that SyncNet — trained on natural human-face video — might not transfer cleanly to a stylized VRM render, and proposed a sanity check (ranking oracle-aligned video above a deliberately desynchronized version) to validate this; </w:t>
      </w:r>
      <w:r>
        <w:rPr>
          <w:b/>
          <w:sz w:val="21"/>
        </w:rPr>
        <w:t>that check was not performed</w:t>
      </w:r>
      <w:r>
        <w:rPr>
          <w:sz w:val="21"/>
        </w:rPr>
        <w:t xml:space="preserve">, and the present result suggests the caveat is material rather than precautionary. A plausible mechanism is that SyncNet's confidence score responds primarily to a single dominant, audio-correlated jaw-opening signal — which AMP (by definition) and MFA (whose JawOpen channel tracks true vowel aperture) both provide directly — while TSYNC, TSYNC−dur, TSYNC−coart, and RATE distribute activation across additional channels (lip rounding, spreading, bilabial closure) that a metric tuned to overall mouth-opening correlation on real human lips may read as decorrelation rather than articulatory detail. We treat LSE-D/LSE-C as </w:t>
      </w:r>
      <w:r>
        <w:rPr>
          <w:b/>
          <w:sz w:val="21"/>
        </w:rPr>
        <w:t>inconclusive for this avatar representation</w:t>
      </w:r>
      <w:r>
        <w:rPr>
          <w:sz w:val="21"/>
        </w:rPr>
        <w:t xml:space="preserve"> rather than as evidence against TSYNC, and identify a SyncNet validity check for stylized/VRM avatars as a prerequisite for future claims based on this metric (Section VI-B).</w:t>
      </w:r>
    </w:p>
    <w:p>
      <w:pPr>
        <w:jc w:val="both"/>
      </w:pPr>
      <w:r>
        <w:rPr>
          <w:b/>
          <w:sz w:val="21"/>
        </w:rPr>
        <w:t>Timing error is far higher in live deployment than on GRID.</w:t>
      </w:r>
      <w:r>
        <w:rPr>
          <w:sz w:val="21"/>
        </w:rPr>
        <w:t xml:space="preserve"> The word-start MAE against MFA-aligned word boundaries is 1380.9 ms (SD 698.0) for all three TSYNC variants — identical because they share the same recognizer-derived </w:t>
      </w:r>
      <w:r>
        <w:rPr>
          <w:rFonts w:ascii="Consolas" w:hAnsi="Consolas"/>
          <w:sz w:val="19"/>
        </w:rPr>
        <w:t>words</w:t>
      </w:r>
      <w:r>
        <w:rPr>
          <w:sz w:val="21"/>
        </w:rPr>
        <w:t xml:space="preserve"> field and differ only in Layers 2–3 — versus 65 ms composed accuracy on GRID (Section V-D). GRID is read, hyper-articulated, single-sentence speech with short, regular pauses; the live A.T.L.A.S corpus (Section V-B) contains longer, more variably paced conversational turns with pauses and disfluencies, over which Layer 1's streaming word timestamps can drift substantially from the corresponding MFA-aligned boundaries on the rendered audio. This gap between controlled-corpus and live-deployment timing accuracy is a limitation we carry forward (Section VI-B) rather than a contradiction of the GRID result, which remains valid as an isolated-layer measurement.</w:t>
      </w:r>
    </w:p>
    <w:p>
      <w:pPr>
        <w:spacing w:before="200"/>
      </w:pPr>
      <w:r>
        <w:rPr>
          <w:b/>
          <w:color w:val="2E74B5"/>
          <w:sz w:val="22"/>
        </w:rPr>
        <w:t>D. Layer-Wise Validation on the GRID Corpus</w:t>
      </w:r>
    </w:p>
    <w:p>
      <w:pPr>
        <w:jc w:val="both"/>
      </w:pPr>
      <w:r>
        <w:rPr>
          <w:sz w:val="21"/>
        </w:rPr>
        <w:t xml:space="preserve">The end-to-end metrics above conflate errors from all three layers. The GRID audiovisual sentence corpus [43] — 34 speakers × 1 000 read sentences — permits validating Layers 1 and 2 in isolation. Word- and phoneme-level reference timing is obtained by forced alignment (MFA [9]) of the studio-quality audio, on which the aligner operates near ceiling. (We found the corpus-distributed word alignments temporally inconsistent with the audio edition used here: speech onsets in the waveforms precede the corresponding </w:t>
      </w:r>
      <w:r>
        <w:rPr>
          <w:rFonts w:ascii="Consolas" w:hAnsi="Consolas"/>
          <w:sz w:val="19"/>
        </w:rPr>
        <w:t>.align</w:t>
      </w:r>
      <w:r>
        <w:rPr>
          <w:sz w:val="21"/>
        </w:rPr>
        <w:t xml:space="preserve"> entries by 362 ms on average — SD 165 ms over a 50-utterance check — an offset on which MFA and the streaming recognizer independently agree; all timing references are therefore taken from MFA.) The duration priors λ of Eq. (4) are fixed design constants (Section IV-C), not fitted to GRID; all measurements below are pure evaluation on 6 000 utterances from held-out speakers s29–s34. Three quantities are measured: (i) Layer-1 word boundary error — recognizer word timestamps (faster-whisper, int8, CPU; the Layer-1 configuration of Section V-E) vs MFA word boundaries, with word error rate computed after normalizing GRID's spoken-digit vocabulary (the recognizer merges "c four" into the callsign token "c4"; midpoint timing is measured only on identically matched tokens, so no timestamps are fabricated); (ii) Layer-2 phoneme timing error in isolation — Eq. (4) applied to </w:t>
      </w:r>
      <w:r>
        <w:rPr>
          <w:i/>
          <w:sz w:val="21"/>
        </w:rPr>
        <w:t>reference</w:t>
      </w:r>
      <w:r>
        <w:rPr>
          <w:sz w:val="21"/>
        </w:rPr>
        <w:t xml:space="preserve"> word boundaries, against MFA phoneme midpoints, with the uniform-split ablation; (iii) the composed Layer-1+2 error using recognizer boundaries.</w:t>
      </w:r>
    </w:p>
    <w:p>
      <w:pPr>
        <w:jc w:val="both"/>
      </w:pPr>
      <w:r>
        <w:rPr>
          <w:b/>
          <w:sz w:val="21"/>
        </w:rPr>
        <w:t>TABLE 5.</w:t>
      </w:r>
      <w:r>
        <w:rPr>
          <w:sz w:val="21"/>
        </w:rPr>
        <w:t xml:space="preserve"> Layer-wise validation on GRID, held-out speakers s29–s34 (n = 6 000 utterances; 101 265 phoneme midpoints for Layer 2; 55 502 for the composed condition). Mean (SD).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Quantity</w:t>
            </w:r>
          </w:p>
        </w:tc>
        <w:tc>
          <w:tcPr>
            <w:tcW w:type="dxa" w:w="3249"/>
            <w:shd w:val="clear" w:fill="BDD7EE"/>
          </w:tcPr>
          <w:p>
            <w:r>
              <w:rPr>
                <w:b/>
                <w:sz w:val="19"/>
              </w:rPr>
              <w:t>Layer</w:t>
            </w:r>
          </w:p>
        </w:tc>
        <w:tc>
          <w:tcPr>
            <w:tcW w:type="dxa" w:w="3249"/>
            <w:shd w:val="clear" w:fill="BDD7EE"/>
          </w:tcPr>
          <w:p>
            <w:r>
              <w:rPr>
                <w:b/>
                <w:sz w:val="19"/>
              </w:rPr>
              <w:t>Value</w:t>
            </w:r>
          </w:p>
        </w:tc>
      </w:tr>
      <w:tr>
        <w:tc>
          <w:tcPr>
            <w:tcW w:type="dxa" w:w="3249"/>
          </w:tcPr>
          <w:p>
            <w:r>
              <w:rPr>
                <w:sz w:val="19"/>
              </w:rPr>
              <w:t>Word start MAE, tiny vs MFA (ms)</w:t>
            </w:r>
          </w:p>
        </w:tc>
        <w:tc>
          <w:tcPr>
            <w:tcW w:type="dxa" w:w="3249"/>
          </w:tcPr>
          <w:p>
            <w:r>
              <w:rPr>
                <w:sz w:val="19"/>
              </w:rPr>
              <w:t>1</w:t>
            </w:r>
          </w:p>
        </w:tc>
        <w:tc>
          <w:tcPr>
            <w:tcW w:type="dxa" w:w="3249"/>
          </w:tcPr>
          <w:p>
            <w:r>
              <w:rPr>
                <w:sz w:val="19"/>
              </w:rPr>
              <w:t>69 (68)</w:t>
            </w:r>
          </w:p>
        </w:tc>
      </w:tr>
      <w:tr>
        <w:tc>
          <w:tcPr>
            <w:tcW w:type="dxa" w:w="3249"/>
          </w:tcPr>
          <w:p>
            <w:r>
              <w:rPr>
                <w:sz w:val="19"/>
              </w:rPr>
              <w:t>Word end MAE, tiny vs MFA (ms)</w:t>
            </w:r>
          </w:p>
        </w:tc>
        <w:tc>
          <w:tcPr>
            <w:tcW w:type="dxa" w:w="3249"/>
          </w:tcPr>
          <w:p>
            <w:r>
              <w:rPr>
                <w:sz w:val="19"/>
              </w:rPr>
              <w:t>1</w:t>
            </w:r>
          </w:p>
        </w:tc>
        <w:tc>
          <w:tcPr>
            <w:tcW w:type="dxa" w:w="3249"/>
          </w:tcPr>
          <w:p>
            <w:r>
              <w:rPr>
                <w:sz w:val="19"/>
              </w:rPr>
              <w:t>73 (55)</w:t>
            </w:r>
          </w:p>
        </w:tc>
      </w:tr>
      <w:tr>
        <w:tc>
          <w:tcPr>
            <w:tcW w:type="dxa" w:w="3249"/>
          </w:tcPr>
          <w:p>
            <w:r>
              <w:rPr>
                <w:sz w:val="19"/>
              </w:rPr>
              <w:t>Word start MAE, base vs MFA (ms)</w:t>
            </w:r>
          </w:p>
        </w:tc>
        <w:tc>
          <w:tcPr>
            <w:tcW w:type="dxa" w:w="3249"/>
          </w:tcPr>
          <w:p>
            <w:r>
              <w:rPr>
                <w:sz w:val="19"/>
              </w:rPr>
              <w:t>1</w:t>
            </w:r>
          </w:p>
        </w:tc>
        <w:tc>
          <w:tcPr>
            <w:tcW w:type="dxa" w:w="3249"/>
          </w:tcPr>
          <w:p>
            <w:r>
              <w:rPr>
                <w:sz w:val="19"/>
              </w:rPr>
              <w:t>90 (61)</w:t>
            </w:r>
          </w:p>
        </w:tc>
      </w:tr>
      <w:tr>
        <w:tc>
          <w:tcPr>
            <w:tcW w:type="dxa" w:w="3249"/>
          </w:tcPr>
          <w:p>
            <w:r>
              <w:rPr>
                <w:sz w:val="19"/>
              </w:rPr>
              <w:t>Word error rate, tiny / base (%)</w:t>
            </w:r>
          </w:p>
        </w:tc>
        <w:tc>
          <w:tcPr>
            <w:tcW w:type="dxa" w:w="3249"/>
          </w:tcPr>
          <w:p>
            <w:r>
              <w:rPr>
                <w:sz w:val="19"/>
              </w:rPr>
              <w:t>1</w:t>
            </w:r>
          </w:p>
        </w:tc>
        <w:tc>
          <w:tcPr>
            <w:tcW w:type="dxa" w:w="3249"/>
          </w:tcPr>
          <w:p>
            <w:r>
              <w:rPr>
                <w:sz w:val="19"/>
              </w:rPr>
              <w:t>24.6 / 18.0</w:t>
            </w:r>
          </w:p>
        </w:tc>
      </w:tr>
      <w:tr>
        <w:tc>
          <w:tcPr>
            <w:tcW w:type="dxa" w:w="3249"/>
          </w:tcPr>
          <w:p>
            <w:r>
              <w:rPr>
                <w:sz w:val="19"/>
              </w:rPr>
              <w:t>Phoneme midpoint MAE, ref. words + λ priors (ms)</w:t>
            </w:r>
          </w:p>
        </w:tc>
        <w:tc>
          <w:tcPr>
            <w:tcW w:type="dxa" w:w="3249"/>
          </w:tcPr>
          <w:p>
            <w:r>
              <w:rPr>
                <w:sz w:val="19"/>
              </w:rPr>
              <w:t>2</w:t>
            </w:r>
          </w:p>
        </w:tc>
        <w:tc>
          <w:tcPr>
            <w:tcW w:type="dxa" w:w="3249"/>
          </w:tcPr>
          <w:p>
            <w:r>
              <w:rPr>
                <w:sz w:val="19"/>
              </w:rPr>
              <w:t>18 (16)</w:t>
            </w:r>
          </w:p>
        </w:tc>
      </w:tr>
      <w:tr>
        <w:tc>
          <w:tcPr>
            <w:tcW w:type="dxa" w:w="3249"/>
          </w:tcPr>
          <w:p>
            <w:r>
              <w:rPr>
                <w:sz w:val="19"/>
              </w:rPr>
              <w:t>Phoneme midpoint MAE, ref. words + uniform split (ms)</w:t>
            </w:r>
          </w:p>
        </w:tc>
        <w:tc>
          <w:tcPr>
            <w:tcW w:type="dxa" w:w="3249"/>
          </w:tcPr>
          <w:p>
            <w:r>
              <w:rPr>
                <w:sz w:val="19"/>
              </w:rPr>
              <w:t>2</w:t>
            </w:r>
          </w:p>
        </w:tc>
        <w:tc>
          <w:tcPr>
            <w:tcW w:type="dxa" w:w="3249"/>
          </w:tcPr>
          <w:p>
            <w:r>
              <w:rPr>
                <w:sz w:val="19"/>
              </w:rPr>
              <w:t>20 (20)</w:t>
            </w:r>
          </w:p>
        </w:tc>
      </w:tr>
      <w:tr>
        <w:tc>
          <w:tcPr>
            <w:tcW w:type="dxa" w:w="3249"/>
          </w:tcPr>
          <w:p>
            <w:r>
              <w:rPr>
                <w:sz w:val="19"/>
              </w:rPr>
              <w:t>Phoneme midpoint MAE, ASR words + λ priors (ms)</w:t>
            </w:r>
          </w:p>
        </w:tc>
        <w:tc>
          <w:tcPr>
            <w:tcW w:type="dxa" w:w="3249"/>
          </w:tcPr>
          <w:p>
            <w:r>
              <w:rPr>
                <w:sz w:val="19"/>
              </w:rPr>
              <w:t>1+2</w:t>
            </w:r>
          </w:p>
        </w:tc>
        <w:tc>
          <w:tcPr>
            <w:tcW w:type="dxa" w:w="3249"/>
          </w:tcPr>
          <w:p>
            <w:r>
              <w:rPr>
                <w:sz w:val="19"/>
              </w:rPr>
              <w:t>65 (54)</w:t>
            </w:r>
          </w:p>
        </w:tc>
      </w:tr>
    </w:tbl>
    <w:p/>
    <w:p>
      <w:pPr>
        <w:jc w:val="center"/>
      </w:pPr>
      <w:r>
        <w:drawing>
          <wp:inline xmlns:a="http://schemas.openxmlformats.org/drawingml/2006/main" xmlns:pic="http://schemas.openxmlformats.org/drawingml/2006/picture">
            <wp:extent cx="5486400" cy="3243444"/>
            <wp:docPr id="3" name="Picture 3"/>
            <wp:cNvGraphicFramePr>
              <a:graphicFrameLocks noChangeAspect="1"/>
            </wp:cNvGraphicFramePr>
            <a:graphic>
              <a:graphicData uri="http://schemas.openxmlformats.org/drawingml/2006/picture">
                <pic:pic>
                  <pic:nvPicPr>
                    <pic:cNvPr id="0" name="fig3_layerwise_grid.png"/>
                    <pic:cNvPicPr/>
                  </pic:nvPicPr>
                  <pic:blipFill>
                    <a:blip r:embed="rId11"/>
                    <a:stretch>
                      <a:fillRect/>
                    </a:stretch>
                  </pic:blipFill>
                  <pic:spPr>
                    <a:xfrm>
                      <a:off x="0" y="0"/>
                      <a:ext cx="5486400" cy="3243444"/>
                    </a:xfrm>
                    <a:prstGeom prst="rect"/>
                  </pic:spPr>
                </pic:pic>
              </a:graphicData>
            </a:graphic>
          </wp:inline>
        </w:drawing>
      </w:r>
    </w:p>
    <w:p>
      <w:pPr>
        <w:jc w:val="both"/>
      </w:pPr>
      <w:r>
        <w:rPr>
          <w:b/>
          <w:sz w:val="21"/>
        </w:rPr>
        <w:t>FIGURE 3.</w:t>
      </w:r>
      <w:r>
        <w:rPr>
          <w:sz w:val="21"/>
        </w:rPr>
        <w:t xml:space="preserve"> Layer-wise timing validation on GRID (Table 5). Layer 2 in isolation (given reference word boundaries) places phoneme midpoints within 18 ms of forced alignment, below the ±45 ms detectability bound. Composing with Layer-1 (ASR) word boundaries raises the error to 65 ms, tracking the Layer-1 word-start MAE (69 ms) — the recognizer, not the duration model, is the accuracy bottleneck.</w:t>
      </w:r>
    </w:p>
    <w:p>
      <w:pPr>
        <w:jc w:val="both"/>
      </w:pPr>
      <w:r>
        <w:rPr>
          <w:sz w:val="21"/>
        </w:rPr>
        <w:t xml:space="preserve">Three observations follow. </w:t>
      </w:r>
      <w:r>
        <w:rPr>
          <w:b/>
          <w:sz w:val="21"/>
        </w:rPr>
        <w:t>First, Layer 2 in isolation is accurate:</w:t>
      </w:r>
      <w:r>
        <w:rPr>
          <w:sz w:val="21"/>
        </w:rPr>
        <w:t xml:space="preserve"> given correct word boundaries, the class-prior allocation places phoneme midpoints within 18 ms (SD 16) of forced alignment — comfortably below the ±45 ms audio-leading detectability bound [27]. The margin over uniform splitting is modest on GRID (18 vs 20 ms): the corpus's 51-word grammar consists of short words for which uniform allocation is already near-optimal, so this result validates Eq. (4) but does not yet demonstrate the prior's advantage on long conversational words, which remains open. </w:t>
      </w:r>
      <w:r>
        <w:rPr>
          <w:b/>
          <w:sz w:val="21"/>
        </w:rPr>
        <w:t>Second, the composed error is recognizer-dominated:</w:t>
      </w:r>
      <w:r>
        <w:rPr>
          <w:sz w:val="21"/>
        </w:rPr>
        <w:t xml:space="preserve"> composing with ASR boundaries raises the error from 18 to 65 ms, closely tracking the word-start MAE (69 ms) — the recognizer, not duration estimation, is the accuracy bottleneck, consistent with the latency findings of Section V-E. The composed figure exceeds the ±45 ms detectability bound; because the error is bounded per word and non-accumulating (Section IV-C), it manifests as transient per-word offsets rather than progressive drift, but sub-detectability composed timing on compact CPU models is not yet achieved. </w:t>
      </w:r>
      <w:r>
        <w:rPr>
          <w:b/>
          <w:sz w:val="21"/>
        </w:rPr>
        <w:t>Third, model scaling improves recognition, not timing:</w:t>
      </w:r>
      <w:r>
        <w:rPr>
          <w:sz w:val="21"/>
        </w:rPr>
        <w:t xml:space="preserve"> "base" lowers WER (18.0 vs 24.6%) yet its word-start MAE is no better (90 vs 69 ms), indicating that boundary precision is limited by Whisper's attention-derived timestamps rather than by acoustic modeling capacity — a larger decoder does not buy better lip-sync anchors. We caution that GRID is read, slow, hyper-articulated English over a 51-word grammar, far outside the recognizer's conversational training distribution (the 24.6% WER includes systematic homophone substitutions such as "bin"→"been"); it is used here strictly for layer-wise validation, while end-to-end claims (Section V-C) rest on live native-audio LLM speech.</w:t>
      </w:r>
    </w:p>
    <w:p>
      <w:pPr>
        <w:spacing w:before="200"/>
      </w:pPr>
      <w:r>
        <w:rPr>
          <w:b/>
          <w:color w:val="2E74B5"/>
          <w:sz w:val="22"/>
        </w:rPr>
        <w:t>E. Latency and Computational Cost</w:t>
      </w:r>
    </w:p>
    <w:p>
      <w:pPr>
        <w:jc w:val="both"/>
      </w:pPr>
      <w:r>
        <w:rPr>
          <w:sz w:val="21"/>
        </w:rPr>
        <w:t>We benchmark TranscriptionSync's three layers as standalone, component-wise modules on a commodity 4-core/8-thread x86_64 CPU, decoupled from the live Gemini Live integration (Section VI-B, Limitations, discusses the remaining live end-to-end instrumentation as future work).</w:t>
      </w:r>
    </w:p>
    <w:p>
      <w:pPr>
        <w:jc w:val="both"/>
      </w:pPr>
      <w:r>
        <w:rPr>
          <w:b/>
          <w:sz w:val="21"/>
        </w:rPr>
        <w:t>Layers 2-3</w:t>
      </w:r>
      <w:r>
        <w:rPr>
          <w:sz w:val="21"/>
        </w:rPr>
        <w:t xml:space="preserve"> (G2P + Eq. 4-5 duration estimation, and Eq. 6-7 kernel co-articulated synthesis) were implemented exactly as specified and exercised on 5 English + 5 Turkish sentences with synthetic word-timestamp triples (425 words, 11,388 rendered frames, 30 repetitions); see </w:t>
      </w:r>
      <w:r>
        <w:rPr>
          <w:rFonts w:ascii="Consolas" w:hAnsi="Consolas"/>
          <w:sz w:val="19"/>
        </w:rPr>
        <w:t>paper/tools/layer23_bench.py</w:t>
      </w:r>
      <w:r>
        <w:rPr>
          <w:sz w:val="21"/>
        </w:rPr>
        <w:t>.</w:t>
      </w:r>
    </w:p>
    <w:p>
      <w:pPr>
        <w:jc w:val="both"/>
      </w:pPr>
      <w:r>
        <w:rPr>
          <w:b/>
          <w:sz w:val="21"/>
        </w:rPr>
        <w:t>Layer 1</w:t>
      </w:r>
      <w:r>
        <w:rPr>
          <w:sz w:val="21"/>
        </w:rPr>
        <w:t xml:space="preserve"> (streaming word-timestamp ASR) was implemented with </w:t>
      </w:r>
      <w:r>
        <w:rPr>
          <w:rFonts w:ascii="Consolas" w:hAnsi="Consolas"/>
          <w:sz w:val="19"/>
        </w:rPr>
        <w:t>faster-whisper</w:t>
      </w:r>
      <w:r>
        <w:rPr>
          <w:sz w:val="21"/>
        </w:rPr>
        <w:t xml:space="preserve">'s "tiny" model, int8-quantized, on CPU, using the design values W = 3.2 s, h = 320 ms, g = 400 ms (Section IV-B), simulating the sliding-window playout-buffer protocol over 5 English + 5 Turkish utterances synthesized with espeak-ng; see </w:t>
      </w:r>
      <w:r>
        <w:rPr>
          <w:rFonts w:ascii="Consolas" w:hAnsi="Consolas"/>
          <w:sz w:val="19"/>
        </w:rPr>
        <w:t>paper/tools/layer1_bench.py</w:t>
      </w:r>
      <w:r>
        <w:rPr>
          <w:sz w:val="21"/>
        </w:rPr>
        <w:t>.</w:t>
      </w:r>
    </w:p>
    <w:p>
      <w:pPr>
        <w:jc w:val="both"/>
      </w:pPr>
      <w:r>
        <w:rPr>
          <w:b/>
          <w:sz w:val="21"/>
        </w:rPr>
        <w:t>TABLE 6.</w:t>
      </w:r>
      <w:r>
        <w:rPr>
          <w:sz w:val="21"/>
        </w:rPr>
        <w:t xml:space="preserve"> Pipeline latency and CPU cost, measured component-wise (medians and 95th percentiles; n = 425 words / 11,388 frames for Layers 2-3, n = 47 EN / 55 TR finalized words for Layer 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BDD7EE"/>
          </w:tcPr>
          <w:p>
            <w:r>
              <w:rPr>
                <w:b/>
                <w:sz w:val="19"/>
              </w:rPr>
              <w:t>Stage</w:t>
            </w:r>
          </w:p>
        </w:tc>
        <w:tc>
          <w:tcPr>
            <w:tcW w:type="dxa" w:w="2436"/>
            <w:shd w:val="clear" w:fill="BDD7EE"/>
          </w:tcPr>
          <w:p>
            <w:r>
              <w:rPr>
                <w:b/>
                <w:sz w:val="19"/>
              </w:rPr>
              <w:t>Definition</w:t>
            </w:r>
          </w:p>
        </w:tc>
        <w:tc>
          <w:tcPr>
            <w:tcW w:type="dxa" w:w="2436"/>
            <w:shd w:val="clear" w:fill="BDD7EE"/>
          </w:tcPr>
          <w:p>
            <w:r>
              <w:rPr>
                <w:b/>
                <w:sz w:val="19"/>
              </w:rPr>
              <w:t>English</w:t>
            </w:r>
          </w:p>
        </w:tc>
        <w:tc>
          <w:tcPr>
            <w:tcW w:type="dxa" w:w="2436"/>
            <w:shd w:val="clear" w:fill="BDD7EE"/>
          </w:tcPr>
          <w:p>
            <w:r>
              <w:rPr>
                <w:b/>
                <w:sz w:val="19"/>
              </w:rPr>
              <w:t>Turkish</w:t>
            </w:r>
          </w:p>
        </w:tc>
      </w:tr>
      <w:tr>
        <w:tc>
          <w:tcPr>
            <w:tcW w:type="dxa" w:w="2436"/>
          </w:tcPr>
          <w:p>
            <w:r>
              <w:rPr>
                <w:sz w:val="19"/>
              </w:rPr>
              <w:t>Word emission lag, median (ms)</w:t>
            </w:r>
          </w:p>
        </w:tc>
        <w:tc>
          <w:tcPr>
            <w:tcW w:type="dxa" w:w="2436"/>
          </w:tcPr>
          <w:p>
            <w:r>
              <w:rPr>
                <w:sz w:val="19"/>
              </w:rPr>
              <w:t>Layer 1</w:t>
            </w:r>
          </w:p>
        </w:tc>
        <w:tc>
          <w:tcPr>
            <w:tcW w:type="dxa" w:w="2436"/>
          </w:tcPr>
          <w:p>
            <w:r>
              <w:rPr>
                <w:sz w:val="19"/>
              </w:rPr>
              <w:t>0.0</w:t>
            </w:r>
          </w:p>
        </w:tc>
        <w:tc>
          <w:tcPr>
            <w:tcW w:type="dxa" w:w="2436"/>
          </w:tcPr>
          <w:p>
            <w:r>
              <w:rPr>
                <w:sz w:val="19"/>
              </w:rPr>
              <w:t>902</w:t>
            </w:r>
          </w:p>
        </w:tc>
      </w:tr>
      <w:tr>
        <w:tc>
          <w:tcPr>
            <w:tcW w:type="dxa" w:w="2436"/>
          </w:tcPr>
          <w:p>
            <w:r>
              <w:rPr>
                <w:sz w:val="19"/>
              </w:rPr>
              <w:t>Word emission lag, P95 (ms)</w:t>
            </w:r>
          </w:p>
        </w:tc>
        <w:tc>
          <w:tcPr>
            <w:tcW w:type="dxa" w:w="2436"/>
          </w:tcPr>
          <w:p>
            <w:r>
              <w:rPr>
                <w:sz w:val="19"/>
              </w:rPr>
              <w:t>Layer 1</w:t>
            </w:r>
          </w:p>
        </w:tc>
        <w:tc>
          <w:tcPr>
            <w:tcW w:type="dxa" w:w="2436"/>
          </w:tcPr>
          <w:p>
            <w:r>
              <w:rPr>
                <w:sz w:val="19"/>
              </w:rPr>
              <w:t>214</w:t>
            </w:r>
          </w:p>
        </w:tc>
        <w:tc>
          <w:tcPr>
            <w:tcW w:type="dxa" w:w="2436"/>
          </w:tcPr>
          <w:p>
            <w:r>
              <w:rPr>
                <w:sz w:val="19"/>
              </w:rPr>
              <w:t>4915</w:t>
            </w:r>
          </w:p>
        </w:tc>
      </w:tr>
      <w:tr>
        <w:tc>
          <w:tcPr>
            <w:tcW w:type="dxa" w:w="2436"/>
          </w:tcPr>
          <w:p>
            <w:r>
              <w:rPr>
                <w:sz w:val="19"/>
              </w:rPr>
              <w:t>ASR window processing time, median (ms)</w:t>
            </w:r>
          </w:p>
        </w:tc>
        <w:tc>
          <w:tcPr>
            <w:tcW w:type="dxa" w:w="2436"/>
          </w:tcPr>
          <w:p>
            <w:r>
              <w:rPr>
                <w:sz w:val="19"/>
              </w:rPr>
              <w:t>Layer 1</w:t>
            </w:r>
          </w:p>
        </w:tc>
        <w:tc>
          <w:tcPr>
            <w:tcW w:type="dxa" w:w="2436"/>
          </w:tcPr>
          <w:p>
            <w:r>
              <w:rPr>
                <w:sz w:val="19"/>
              </w:rPr>
              <w:t>479</w:t>
            </w:r>
          </w:p>
        </w:tc>
        <w:tc>
          <w:tcPr>
            <w:tcW w:type="dxa" w:w="2436"/>
          </w:tcPr>
          <w:p>
            <w:r>
              <w:rPr>
                <w:sz w:val="19"/>
              </w:rPr>
              <w:t>1779</w:t>
            </w:r>
          </w:p>
        </w:tc>
      </w:tr>
      <w:tr>
        <w:tc>
          <w:tcPr>
            <w:tcW w:type="dxa" w:w="2436"/>
          </w:tcPr>
          <w:p>
            <w:r>
              <w:rPr>
                <w:sz w:val="19"/>
              </w:rPr>
              <w:t>ASR window processing time, P95 (ms)</w:t>
            </w:r>
          </w:p>
        </w:tc>
        <w:tc>
          <w:tcPr>
            <w:tcW w:type="dxa" w:w="2436"/>
          </w:tcPr>
          <w:p>
            <w:r>
              <w:rPr>
                <w:sz w:val="19"/>
              </w:rPr>
              <w:t>Layer 1</w:t>
            </w:r>
          </w:p>
        </w:tc>
        <w:tc>
          <w:tcPr>
            <w:tcW w:type="dxa" w:w="2436"/>
          </w:tcPr>
          <w:p>
            <w:r>
              <w:rPr>
                <w:sz w:val="19"/>
              </w:rPr>
              <w:t>512</w:t>
            </w:r>
          </w:p>
        </w:tc>
        <w:tc>
          <w:tcPr>
            <w:tcW w:type="dxa" w:w="2436"/>
          </w:tcPr>
          <w:p>
            <w:r>
              <w:rPr>
                <w:sz w:val="19"/>
              </w:rPr>
              <w:t>5335</w:t>
            </w:r>
          </w:p>
        </w:tc>
      </w:tr>
      <w:tr>
        <w:tc>
          <w:tcPr>
            <w:tcW w:type="dxa" w:w="2436"/>
          </w:tcPr>
          <w:p>
            <w:r>
              <w:rPr>
                <w:sz w:val="19"/>
              </w:rPr>
              <w:t>ASR CPU load (one core, %)</w:t>
            </w:r>
          </w:p>
        </w:tc>
        <w:tc>
          <w:tcPr>
            <w:tcW w:type="dxa" w:w="2436"/>
          </w:tcPr>
          <w:p>
            <w:r>
              <w:rPr>
                <w:sz w:val="19"/>
              </w:rPr>
              <w:t>Layer 1</w:t>
            </w:r>
          </w:p>
        </w:tc>
        <w:tc>
          <w:tcPr>
            <w:tcW w:type="dxa" w:w="2436"/>
          </w:tcPr>
          <w:p>
            <w:r>
              <w:rPr>
                <w:sz w:val="19"/>
              </w:rPr>
              <w:t>≈ 100</w:t>
            </w:r>
          </w:p>
        </w:tc>
        <w:tc>
          <w:tcPr>
            <w:tcW w:type="dxa" w:w="2436"/>
          </w:tcPr>
          <w:p>
            <w:r>
              <w:rPr>
                <w:sz w:val="19"/>
              </w:rPr>
              <w:t>≈ 100</w:t>
            </w:r>
          </w:p>
        </w:tc>
      </w:tr>
      <w:tr>
        <w:tc>
          <w:tcPr>
            <w:tcW w:type="dxa" w:w="2436"/>
          </w:tcPr>
          <w:p>
            <w:r>
              <w:rPr>
                <w:sz w:val="19"/>
              </w:rPr>
              <w:t>Frame synthesis, median / P95 (ms)</w:t>
            </w:r>
          </w:p>
        </w:tc>
        <w:tc>
          <w:tcPr>
            <w:tcW w:type="dxa" w:w="2436"/>
          </w:tcPr>
          <w:p>
            <w:r>
              <w:rPr>
                <w:sz w:val="19"/>
              </w:rPr>
              <w:t>Layer 3</w:t>
            </w:r>
          </w:p>
        </w:tc>
        <w:tc>
          <w:tcPr>
            <w:tcW w:type="dxa" w:w="2436"/>
          </w:tcPr>
          <w:p>
            <w:r>
              <w:rPr>
                <w:sz w:val="19"/>
              </w:rPr>
              <w:t>0.049 / 0.070</w:t>
            </w:r>
          </w:p>
        </w:tc>
        <w:tc>
          <w:tcPr>
            <w:tcW w:type="dxa" w:w="2436"/>
          </w:tcPr>
          <w:p>
            <w:r>
              <w:rPr>
                <w:sz w:val="19"/>
              </w:rPr>
              <w:t>(language-independent)</w:t>
            </w:r>
          </w:p>
        </w:tc>
      </w:tr>
      <w:tr>
        <w:tc>
          <w:tcPr>
            <w:tcW w:type="dxa" w:w="2436"/>
          </w:tcPr>
          <w:p>
            <w:r>
              <w:rPr>
                <w:sz w:val="19"/>
              </w:rPr>
              <w:t>G2P + duration est., median / P95 (ms)</w:t>
            </w:r>
          </w:p>
        </w:tc>
        <w:tc>
          <w:tcPr>
            <w:tcW w:type="dxa" w:w="2436"/>
          </w:tcPr>
          <w:p>
            <w:r>
              <w:rPr>
                <w:sz w:val="19"/>
              </w:rPr>
              <w:t>Layer 2</w:t>
            </w:r>
          </w:p>
        </w:tc>
        <w:tc>
          <w:tcPr>
            <w:tcW w:type="dxa" w:w="2436"/>
          </w:tcPr>
          <w:p>
            <w:r>
              <w:rPr>
                <w:sz w:val="19"/>
              </w:rPr>
              <w:t>0.005 / 0.042</w:t>
            </w:r>
          </w:p>
        </w:tc>
        <w:tc>
          <w:tcPr>
            <w:tcW w:type="dxa" w:w="2436"/>
          </w:tcPr>
          <w:p>
            <w:r>
              <w:rPr>
                <w:sz w:val="19"/>
              </w:rPr>
              <w:t>(rule-based G2P, comparable)</w:t>
            </w:r>
          </w:p>
        </w:tc>
      </w:tr>
      <w:tr>
        <w:tc>
          <w:tcPr>
            <w:tcW w:type="dxa" w:w="2436"/>
          </w:tcPr>
          <w:p>
            <w:r>
              <w:rPr>
                <w:sz w:val="19"/>
              </w:rPr>
              <w:t>Layer 2-3 CPU load (one core, %)</w:t>
            </w:r>
          </w:p>
        </w:tc>
        <w:tc>
          <w:tcPr>
            <w:tcW w:type="dxa" w:w="2436"/>
          </w:tcPr>
          <w:p>
            <w:r>
              <w:rPr>
                <w:sz w:val="19"/>
              </w:rPr>
              <w:t>Layers 2-3</w:t>
            </w:r>
          </w:p>
        </w:tc>
        <w:tc>
          <w:tcPr>
            <w:tcW w:type="dxa" w:w="2436"/>
          </w:tcPr>
          <w:p>
            <w:r>
              <w:rPr>
                <w:sz w:val="19"/>
              </w:rPr>
              <w:t>0.29</w:t>
            </w:r>
          </w:p>
        </w:tc>
        <w:tc>
          <w:tcPr>
            <w:tcW w:type="dxa" w:w="2436"/>
          </w:tcPr>
          <w:p>
            <w:r>
              <w:rPr>
                <w:sz w:val="19"/>
              </w:rPr>
              <w:t>0.29</w:t>
            </w:r>
          </w:p>
        </w:tc>
      </w:tr>
      <w:tr>
        <w:tc>
          <w:tcPr>
            <w:tcW w:type="dxa" w:w="2436"/>
          </w:tcPr>
          <w:p>
            <w:r>
              <w:rPr>
                <w:sz w:val="19"/>
              </w:rPr>
              <w:t>Implied Δ by Eq. (3)</w:t>
            </w:r>
          </w:p>
        </w:tc>
        <w:tc>
          <w:tcPr>
            <w:tcW w:type="dxa" w:w="2436"/>
          </w:tcPr>
          <w:p>
            <w:r>
              <w:rPr>
                <w:sz w:val="19"/>
              </w:rPr>
              <w:t>playout buffer</w:t>
            </w:r>
          </w:p>
        </w:tc>
        <w:tc>
          <w:tcPr>
            <w:tcW w:type="dxa" w:w="2436"/>
          </w:tcPr>
          <w:p>
            <w:r>
              <w:rPr>
                <w:sz w:val="19"/>
              </w:rPr>
              <w:t>≈ 215 ms</w:t>
            </w:r>
          </w:p>
        </w:tc>
        <w:tc>
          <w:tcPr>
            <w:tcW w:type="dxa" w:w="2436"/>
          </w:tcPr>
          <w:p>
            <w:r>
              <w:rPr>
                <w:sz w:val="19"/>
              </w:rPr>
              <w:t>≈ 4.9 s (impractical)</w:t>
            </w:r>
          </w:p>
        </w:tc>
      </w:tr>
    </w:tbl>
    <w:p/>
    <w:p>
      <w:pPr>
        <w:jc w:val="center"/>
      </w:pPr>
      <w:r>
        <w:drawing>
          <wp:inline xmlns:a="http://schemas.openxmlformats.org/drawingml/2006/main" xmlns:pic="http://schemas.openxmlformats.org/drawingml/2006/picture">
            <wp:extent cx="5486400" cy="2992192"/>
            <wp:docPr id="4" name="Picture 4"/>
            <wp:cNvGraphicFramePr>
              <a:graphicFrameLocks noChangeAspect="1"/>
            </wp:cNvGraphicFramePr>
            <a:graphic>
              <a:graphicData uri="http://schemas.openxmlformats.org/drawingml/2006/picture">
                <pic:pic>
                  <pic:nvPicPr>
                    <pic:cNvPr id="0" name="fig4_latency_en_tr.png"/>
                    <pic:cNvPicPr/>
                  </pic:nvPicPr>
                  <pic:blipFill>
                    <a:blip r:embed="rId12"/>
                    <a:stretch>
                      <a:fillRect/>
                    </a:stretch>
                  </pic:blipFill>
                  <pic:spPr>
                    <a:xfrm>
                      <a:off x="0" y="0"/>
                      <a:ext cx="5486400" cy="2992192"/>
                    </a:xfrm>
                    <a:prstGeom prst="rect"/>
                  </pic:spPr>
                </pic:pic>
              </a:graphicData>
            </a:graphic>
          </wp:inline>
        </w:drawing>
      </w:r>
    </w:p>
    <w:p>
      <w:pPr>
        <w:jc w:val="both"/>
      </w:pPr>
      <w:r>
        <w:rPr>
          <w:b/>
          <w:sz w:val="21"/>
        </w:rPr>
        <w:t>FIGURE 4.</w:t>
      </w:r>
      <w:r>
        <w:rPr>
          <w:sz w:val="21"/>
        </w:rPr>
        <w:t xml:space="preserve"> Layer-1 (streaming word-timestamp ASR) latency, English vs. Turkish, log scale (Table 6). The "tiny" int8 multilingual model gives a practical word-emission lag (P95 = 214 ms, Δ ≈ 215 ms) for English, but is roughly an order of magnitude slower for Turkish (P95 = 4.9 s), making it impractical for that language at this model size.</w:t>
      </w:r>
    </w:p>
    <w:p>
      <w:pPr>
        <w:jc w:val="both"/>
      </w:pPr>
      <w:r>
        <w:rPr>
          <w:sz w:val="21"/>
        </w:rPr>
        <w:t>These measurements confirm the Layer-2/3 negligibility claim of Section IV-E with a wide margin: per-frame synthesis (P95 = 0.070 ms) and per-word duration estimation (P95 = 0.042 ms) are roughly three orders of magnitude below the 50 ms design target, and together occupy 0.29% of one CPU core. The latency budget of Eq. (3) is therefore set entirely by Layer 1.</w:t>
      </w:r>
    </w:p>
    <w:p>
      <w:pPr>
        <w:jc w:val="both"/>
      </w:pPr>
      <w:r>
        <w:rPr>
          <w:sz w:val="21"/>
        </w:rPr>
        <w:t xml:space="preserve">For </w:t>
      </w:r>
      <w:r>
        <w:rPr>
          <w:b/>
          <w:sz w:val="21"/>
        </w:rPr>
        <w:t>English</w:t>
      </w:r>
      <w:r>
        <w:rPr>
          <w:sz w:val="21"/>
        </w:rPr>
        <w:t>, the "tiny" int8 model yields a word emission lag of P95 = 214 ms, giving Δ ≈ 215 ms — a small, practical playout delay. However, the per-window processing time (median 479 ms, P95 512 ms) exceeds the nominal hop h = 320 ms, so the recognizer cannot keep pace with h; in a single-threaded deployment it instead runs back-to-back, continuously occupying one CPU core (ASR CPU load ≈ 100%, not the fractional load originally hypothesized in Section IV-E).</w:t>
      </w:r>
    </w:p>
    <w:p>
      <w:pPr>
        <w:jc w:val="both"/>
      </w:pPr>
      <w:r>
        <w:rPr>
          <w:sz w:val="21"/>
        </w:rPr>
        <w:t xml:space="preserve">For </w:t>
      </w:r>
      <w:r>
        <w:rPr>
          <w:b/>
          <w:sz w:val="21"/>
        </w:rPr>
        <w:t>Turkish</w:t>
      </w:r>
      <w:r>
        <w:rPr>
          <w:sz w:val="21"/>
        </w:rPr>
        <w:t xml:space="preserve">, the same "tiny" model is both far slower (median window time 1.78 s, P95 5.3 s) and far less stable, occasionally entering long decoding loops on short utterances — a known weakness of the smallest multilingual Whisper checkpoints on lower-resource languages. The resulting emission lag (P95 = 4.9 s) implies an impractical Δ by Eq. (3): a 5-second playout delay is unacceptable for conversational use. This </w:t>
      </w:r>
      <w:r>
        <w:rPr>
          <w:b/>
          <w:sz w:val="21"/>
        </w:rPr>
        <w:t>language asymmetry</w:t>
      </w:r>
      <w:r>
        <w:rPr>
          <w:sz w:val="21"/>
        </w:rPr>
        <w:t xml:space="preserve"> is a genuine finding rather than a measurement artifact, and is carried forward as a limitation (Section VI-B): production use for Turkish requires either a larger/ better-calibrated ASR model (at proportionally higher, but still single-core, CPU cost) or falling back to the training-free RATE variant (Section IV-F), which adds zero latency and is open-loop but language-agnostic.</w:t>
      </w:r>
    </w:p>
    <w:p>
      <w:pPr>
        <w:jc w:val="both"/>
      </w:pPr>
      <w:r>
        <w:rPr>
          <w:sz w:val="21"/>
        </w:rPr>
        <w:t>We have not yet instrumented the full live voice-to-voice pipeline (T₀–T₃ of the original protocol, requiring Gemini Live API integration); this remains an open measurement, noted in Section VI-B.</w:t>
      </w:r>
    </w:p>
    <w:p>
      <w:pPr>
        <w:spacing w:before="200"/>
      </w:pPr>
      <w:r>
        <w:rPr>
          <w:b/>
          <w:color w:val="2E74B5"/>
          <w:sz w:val="22"/>
        </w:rPr>
        <w:t>F. Auxiliary Validation: Learned Audio-to-Blendshape Regression on Video-Measured Ground Truth</w:t>
      </w:r>
    </w:p>
    <w:p>
      <w:pPr>
        <w:jc w:val="both"/>
      </w:pPr>
      <w:r>
        <w:rPr>
          <w:sz w:val="21"/>
        </w:rPr>
        <w:t>TranscriptionSync (Sections IV-B–IV-D) is training-free by design. To independently validate the 14-channel ARKit target representation used throughout this paper, and to probe whether a future learned Layer-3 alternative would be architecturally informed by the same design choices, we trained lightweight reference regression models that map log-mel audio directly to the 14-channel ARKit blendshape stream at 60 fps on the GRID corpus (speaker-disjoint split, s1–s28 train / s29–s34 val).</w:t>
      </w:r>
    </w:p>
    <w:p>
      <w:pPr>
        <w:jc w:val="both"/>
      </w:pPr>
      <w:r>
        <w:rPr>
          <w:sz w:val="21"/>
        </w:rPr>
        <w:t xml:space="preserve">Two ground-truth sources were compared on the identical split: (i) the </w:t>
      </w:r>
      <w:r>
        <w:rPr>
          <w:b/>
          <w:sz w:val="21"/>
        </w:rPr>
        <w:t>rule-derived</w:t>
      </w:r>
      <w:r>
        <w:rPr>
          <w:sz w:val="21"/>
        </w:rPr>
        <w:t xml:space="preserve"> labels obtained via the viseme→ARKit mapping used for the Layer-2 validation (Section V-D), and (ii) </w:t>
      </w:r>
      <w:r>
        <w:rPr>
          <w:b/>
          <w:sz w:val="21"/>
        </w:rPr>
        <w:t>video-measured</w:t>
      </w:r>
      <w:r>
        <w:rPr>
          <w:sz w:val="21"/>
        </w:rPr>
        <w:t xml:space="preserve"> labels obtained by running MediaPipe FaceLandmarker frame-by-frame on the GRID video recordings and resampling the 14 ARKit blendshape scores to 60 fps (32 980 utterances retained, mean face-detection rate &gt; 99.8%). For each ground-truth source we trained two compact architectures — a causal Transformer encoder (1.21 M parameters) and a BiLSTM (1.39 M parameters) — to convergence with early stopping.</w:t>
      </w:r>
    </w:p>
    <w:p>
      <w:pPr>
        <w:jc w:val="both"/>
      </w:pPr>
      <w:r>
        <w:rPr>
          <w:b/>
          <w:sz w:val="21"/>
        </w:rPr>
        <w:t>TABLE 6b.</w:t>
      </w:r>
      <w:r>
        <w:rPr>
          <w:sz w:val="21"/>
        </w:rPr>
        <w:t xml:space="preserve"> Audio-to-blendshape regression, held-out speakers (s29–s34), by ground-truth source and architecture.</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fill="BDD7EE"/>
          </w:tcPr>
          <w:p>
            <w:r>
              <w:rPr>
                <w:b/>
                <w:sz w:val="19"/>
              </w:rPr>
              <w:t>GT source</w:t>
            </w:r>
          </w:p>
        </w:tc>
        <w:tc>
          <w:tcPr>
            <w:tcW w:type="dxa" w:w="1218"/>
            <w:shd w:val="clear" w:fill="BDD7EE"/>
          </w:tcPr>
          <w:p>
            <w:r>
              <w:rPr>
                <w:b/>
                <w:sz w:val="19"/>
              </w:rPr>
              <w:t>Arch</w:t>
            </w:r>
          </w:p>
        </w:tc>
        <w:tc>
          <w:tcPr>
            <w:tcW w:type="dxa" w:w="1218"/>
            <w:shd w:val="clear" w:fill="BDD7EE"/>
          </w:tcPr>
          <w:p>
            <w:r>
              <w:rPr>
                <w:b/>
                <w:sz w:val="19"/>
              </w:rPr>
              <w:t>Val MSE</w:t>
            </w:r>
          </w:p>
        </w:tc>
        <w:tc>
          <w:tcPr>
            <w:tcW w:type="dxa" w:w="1218"/>
            <w:shd w:val="clear" w:fill="BDD7EE"/>
          </w:tcPr>
          <w:p>
            <w:r>
              <w:rPr>
                <w:b/>
                <w:sz w:val="19"/>
              </w:rPr>
              <w:t>Val MAE</w:t>
            </w:r>
          </w:p>
        </w:tc>
        <w:tc>
          <w:tcPr>
            <w:tcW w:type="dxa" w:w="1218"/>
            <w:shd w:val="clear" w:fill="BDD7EE"/>
          </w:tcPr>
          <w:p>
            <w:r>
              <w:rPr>
                <w:b/>
                <w:sz w:val="19"/>
              </w:rPr>
              <w:t>LVD μ</w:t>
            </w:r>
          </w:p>
        </w:tc>
        <w:tc>
          <w:tcPr>
            <w:tcW w:type="dxa" w:w="1218"/>
            <w:shd w:val="clear" w:fill="BDD7EE"/>
          </w:tcPr>
          <w:p>
            <w:r>
              <w:rPr>
                <w:b/>
                <w:sz w:val="19"/>
              </w:rPr>
              <w:t>LVD p95</w:t>
            </w:r>
          </w:p>
        </w:tc>
        <w:tc>
          <w:tcPr>
            <w:tcW w:type="dxa" w:w="1218"/>
            <w:shd w:val="clear" w:fill="BDD7EE"/>
          </w:tcPr>
          <w:p>
            <w:r>
              <w:rPr>
                <w:b/>
                <w:sz w:val="19"/>
              </w:rPr>
              <w:t>Lag (ms)</w:t>
            </w:r>
          </w:p>
        </w:tc>
        <w:tc>
          <w:tcPr>
            <w:tcW w:type="dxa" w:w="1218"/>
            <w:shd w:val="clear" w:fill="BDD7EE"/>
          </w:tcPr>
          <w:p>
            <w:r>
              <w:rPr>
                <w:b/>
                <w:sz w:val="19"/>
              </w:rPr>
              <w:t>Vel. ratio</w:t>
            </w:r>
          </w:p>
        </w:tc>
      </w:tr>
      <w:tr>
        <w:tc>
          <w:tcPr>
            <w:tcW w:type="dxa" w:w="1218"/>
          </w:tcPr>
          <w:p>
            <w:r>
              <w:rPr>
                <w:sz w:val="19"/>
              </w:rPr>
              <w:t>Rule-derived</w:t>
            </w:r>
          </w:p>
        </w:tc>
        <w:tc>
          <w:tcPr>
            <w:tcW w:type="dxa" w:w="1218"/>
          </w:tcPr>
          <w:p>
            <w:r>
              <w:rPr>
                <w:sz w:val="19"/>
              </w:rPr>
              <w:t>Transformer</w:t>
            </w:r>
          </w:p>
        </w:tc>
        <w:tc>
          <w:tcPr>
            <w:tcW w:type="dxa" w:w="1218"/>
          </w:tcPr>
          <w:p>
            <w:r>
              <w:rPr>
                <w:sz w:val="19"/>
              </w:rPr>
              <w:t>0.00751</w:t>
            </w:r>
          </w:p>
        </w:tc>
        <w:tc>
          <w:tcPr>
            <w:tcW w:type="dxa" w:w="1218"/>
          </w:tcPr>
          <w:p>
            <w:r>
              <w:rPr>
                <w:sz w:val="19"/>
              </w:rPr>
              <w:t>0.0460</w:t>
            </w:r>
          </w:p>
        </w:tc>
        <w:tc>
          <w:tcPr>
            <w:tcW w:type="dxa" w:w="1218"/>
          </w:tcPr>
          <w:p>
            <w:r>
              <w:rPr>
                <w:sz w:val="19"/>
              </w:rPr>
              <w:t>0.272</w:t>
            </w:r>
          </w:p>
        </w:tc>
        <w:tc>
          <w:tcPr>
            <w:tcW w:type="dxa" w:w="1218"/>
          </w:tcPr>
          <w:p>
            <w:r>
              <w:rPr>
                <w:sz w:val="19"/>
              </w:rPr>
              <w:t>0.603</w:t>
            </w:r>
          </w:p>
        </w:tc>
        <w:tc>
          <w:tcPr>
            <w:tcW w:type="dxa" w:w="1218"/>
          </w:tcPr>
          <w:p>
            <w:r>
              <w:rPr>
                <w:sz w:val="19"/>
              </w:rPr>
              <w:t>81 ± 137</w:t>
            </w:r>
          </w:p>
        </w:tc>
        <w:tc>
          <w:tcPr>
            <w:tcW w:type="dxa" w:w="1218"/>
          </w:tcPr>
          <w:p>
            <w:r>
              <w:rPr>
                <w:sz w:val="19"/>
              </w:rPr>
              <w:t>0.42</w:t>
            </w:r>
          </w:p>
        </w:tc>
      </w:tr>
      <w:tr>
        <w:tc>
          <w:tcPr>
            <w:tcW w:type="dxa" w:w="1218"/>
          </w:tcPr>
          <w:p>
            <w:r>
              <w:rPr>
                <w:sz w:val="19"/>
              </w:rPr>
              <w:t>Rule-derived</w:t>
            </w:r>
          </w:p>
        </w:tc>
        <w:tc>
          <w:tcPr>
            <w:tcW w:type="dxa" w:w="1218"/>
          </w:tcPr>
          <w:p>
            <w:r>
              <w:rPr>
                <w:sz w:val="19"/>
              </w:rPr>
              <w:t>BiLSTM</w:t>
            </w:r>
          </w:p>
        </w:tc>
        <w:tc>
          <w:tcPr>
            <w:tcW w:type="dxa" w:w="1218"/>
          </w:tcPr>
          <w:p>
            <w:r>
              <w:rPr>
                <w:sz w:val="19"/>
              </w:rPr>
              <w:t>0.00689</w:t>
            </w:r>
          </w:p>
        </w:tc>
        <w:tc>
          <w:tcPr>
            <w:tcW w:type="dxa" w:w="1218"/>
          </w:tcPr>
          <w:p>
            <w:r>
              <w:rPr>
                <w:sz w:val="19"/>
              </w:rPr>
              <w:t>0.0429</w:t>
            </w:r>
          </w:p>
        </w:tc>
        <w:tc>
          <w:tcPr>
            <w:tcW w:type="dxa" w:w="1218"/>
          </w:tcPr>
          <w:p>
            <w:r>
              <w:rPr>
                <w:sz w:val="19"/>
              </w:rPr>
              <w:t>0.257</w:t>
            </w:r>
          </w:p>
        </w:tc>
        <w:tc>
          <w:tcPr>
            <w:tcW w:type="dxa" w:w="1218"/>
          </w:tcPr>
          <w:p>
            <w:r>
              <w:rPr>
                <w:sz w:val="19"/>
              </w:rPr>
              <w:t>0.593</w:t>
            </w:r>
          </w:p>
        </w:tc>
        <w:tc>
          <w:tcPr>
            <w:tcW w:type="dxa" w:w="1218"/>
          </w:tcPr>
          <w:p>
            <w:r>
              <w:rPr>
                <w:sz w:val="19"/>
              </w:rPr>
              <w:t>73 ± 139</w:t>
            </w:r>
          </w:p>
        </w:tc>
        <w:tc>
          <w:tcPr>
            <w:tcW w:type="dxa" w:w="1218"/>
          </w:tcPr>
          <w:p>
            <w:r>
              <w:rPr>
                <w:sz w:val="19"/>
              </w:rPr>
              <w:t>0.43</w:t>
            </w:r>
          </w:p>
        </w:tc>
      </w:tr>
      <w:tr>
        <w:tc>
          <w:tcPr>
            <w:tcW w:type="dxa" w:w="1218"/>
          </w:tcPr>
          <w:p>
            <w:r>
              <w:rPr>
                <w:sz w:val="19"/>
              </w:rPr>
              <w:t>Video-measured</w:t>
            </w:r>
          </w:p>
        </w:tc>
        <w:tc>
          <w:tcPr>
            <w:tcW w:type="dxa" w:w="1218"/>
          </w:tcPr>
          <w:p>
            <w:r>
              <w:rPr>
                <w:sz w:val="19"/>
              </w:rPr>
              <w:t>Transformer</w:t>
            </w:r>
          </w:p>
        </w:tc>
        <w:tc>
          <w:tcPr>
            <w:tcW w:type="dxa" w:w="1218"/>
          </w:tcPr>
          <w:p>
            <w:r>
              <w:rPr>
                <w:sz w:val="19"/>
              </w:rPr>
              <w:t>0.01044</w:t>
            </w:r>
          </w:p>
        </w:tc>
        <w:tc>
          <w:tcPr>
            <w:tcW w:type="dxa" w:w="1218"/>
          </w:tcPr>
          <w:p>
            <w:r>
              <w:rPr>
                <w:sz w:val="19"/>
              </w:rPr>
              <w:t>0.0364</w:t>
            </w:r>
          </w:p>
        </w:tc>
        <w:tc>
          <w:tcPr>
            <w:tcW w:type="dxa" w:w="1218"/>
          </w:tcPr>
          <w:p>
            <w:r>
              <w:rPr>
                <w:sz w:val="19"/>
              </w:rPr>
              <w:t>0.297</w:t>
            </w:r>
          </w:p>
        </w:tc>
        <w:tc>
          <w:tcPr>
            <w:tcW w:type="dxa" w:w="1218"/>
          </w:tcPr>
          <w:p>
            <w:r>
              <w:rPr>
                <w:sz w:val="19"/>
              </w:rPr>
              <w:t>0.837</w:t>
            </w:r>
          </w:p>
        </w:tc>
        <w:tc>
          <w:tcPr>
            <w:tcW w:type="dxa" w:w="1218"/>
          </w:tcPr>
          <w:p>
            <w:r>
              <w:rPr>
                <w:sz w:val="19"/>
              </w:rPr>
              <w:t>83 ± 237</w:t>
            </w:r>
          </w:p>
        </w:tc>
        <w:tc>
          <w:tcPr>
            <w:tcW w:type="dxa" w:w="1218"/>
          </w:tcPr>
          <w:p>
            <w:r>
              <w:rPr>
                <w:b/>
                <w:sz w:val="19"/>
              </w:rPr>
              <w:t>0.51</w:t>
            </w:r>
          </w:p>
        </w:tc>
      </w:tr>
      <w:tr>
        <w:tc>
          <w:tcPr>
            <w:tcW w:type="dxa" w:w="1218"/>
          </w:tcPr>
          <w:p>
            <w:r>
              <w:rPr>
                <w:sz w:val="19"/>
              </w:rPr>
              <w:t>Video-measured</w:t>
            </w:r>
          </w:p>
        </w:tc>
        <w:tc>
          <w:tcPr>
            <w:tcW w:type="dxa" w:w="1218"/>
          </w:tcPr>
          <w:p>
            <w:r>
              <w:rPr>
                <w:sz w:val="19"/>
              </w:rPr>
              <w:t>BiLSTM</w:t>
            </w:r>
          </w:p>
        </w:tc>
        <w:tc>
          <w:tcPr>
            <w:tcW w:type="dxa" w:w="1218"/>
          </w:tcPr>
          <w:p>
            <w:r>
              <w:rPr>
                <w:sz w:val="19"/>
              </w:rPr>
              <w:t>0.01270</w:t>
            </w:r>
          </w:p>
        </w:tc>
        <w:tc>
          <w:tcPr>
            <w:tcW w:type="dxa" w:w="1218"/>
          </w:tcPr>
          <w:p>
            <w:r>
              <w:rPr>
                <w:sz w:val="19"/>
              </w:rPr>
              <w:t>0.0387</w:t>
            </w:r>
          </w:p>
        </w:tc>
        <w:tc>
          <w:tcPr>
            <w:tcW w:type="dxa" w:w="1218"/>
          </w:tcPr>
          <w:p>
            <w:r>
              <w:rPr>
                <w:sz w:val="19"/>
              </w:rPr>
              <w:t>0.328</w:t>
            </w:r>
          </w:p>
        </w:tc>
        <w:tc>
          <w:tcPr>
            <w:tcW w:type="dxa" w:w="1218"/>
          </w:tcPr>
          <w:p>
            <w:r>
              <w:rPr>
                <w:sz w:val="19"/>
              </w:rPr>
              <w:t>0.916</w:t>
            </w:r>
          </w:p>
        </w:tc>
        <w:tc>
          <w:tcPr>
            <w:tcW w:type="dxa" w:w="1218"/>
          </w:tcPr>
          <w:p>
            <w:r>
              <w:rPr>
                <w:sz w:val="19"/>
              </w:rPr>
              <w:t>−8 ± 236</w:t>
            </w:r>
          </w:p>
        </w:tc>
        <w:tc>
          <w:tcPr>
            <w:tcW w:type="dxa" w:w="1218"/>
          </w:tcPr>
          <w:p>
            <w:r>
              <w:rPr>
                <w:b/>
                <w:sz w:val="19"/>
              </w:rPr>
              <w:t>0.24</w:t>
            </w:r>
          </w:p>
        </w:tc>
      </w:tr>
    </w:tbl>
    <w:p/>
    <w:p>
      <w:pPr>
        <w:jc w:val="both"/>
      </w:pPr>
      <w:r>
        <w:rPr>
          <w:sz w:val="21"/>
        </w:rPr>
        <w:t>Two findings emerge. First, video-measured ground truth yields lower mean absolute error but higher mean-squared error and p95 lip-vertex distance for both architectures (e.g., transformer LVD-p95 0.603 → 0.837, +39%). This is consistent with the rule-derived labels under-representing the true dynamic range of articulation: real speakers produce occasional high-amplitude mouth excursions (wide vowels, bilabial closures with overshoot) that the viseme→ARKit heuristic mapping smooths away, so a model trained against rule-derived labels never has to reproduce them and is correspondingly never penalized for missing them.</w:t>
      </w:r>
    </w:p>
    <w:p>
      <w:pPr>
        <w:jc w:val="both"/>
      </w:pPr>
      <w:r>
        <w:rPr>
          <w:sz w:val="21"/>
        </w:rPr>
        <w:t xml:space="preserve">Second, and more relevant to architectural choice, the </w:t>
      </w:r>
      <w:r>
        <w:rPr>
          <w:b/>
          <w:sz w:val="21"/>
        </w:rPr>
        <w:t>velocity ratio</w:t>
      </w:r>
      <w:r>
        <w:rPr>
          <w:sz w:val="21"/>
        </w:rPr>
        <w:t xml:space="preserve"> — the ratio of predicted to reference frame-to-frame motion magnitude, where 1.0 indicates dynamics matching the reference — diverges sharply by architecture under video-measured ground truth (Transformer 0.51 vs. BiLSTM 0.24) while the two architectures are nearly indistinguishable under rule-derived labels (0.42 vs. 0.43). In other words, the smoothed rule-derived labels do not expose a meaningful difference between architectures, but against a ground truth anchored in genuine human articulation, the BiLSTM collapses toward over-smoothed, low-velocity output (vel. ratio 0.24) while the causal Transformer retains substantially more of the reference dynamics (0.51). Combined with its tighter lag distribution (83 ± 237 ms vs. −8 ± 236 ms, where the BiLSTM's near-zero mean lag reflects poor temporal locking rather than better alignment), this favors causal-Transformer-style processing as the more faithful backbone for any future learned extension of TranscriptionSync's Layer 3.</w:t>
      </w:r>
    </w:p>
    <w:p>
      <w:pPr>
        <w:jc w:val="both"/>
      </w:pPr>
      <w:r>
        <w:rPr>
          <w:sz w:val="21"/>
        </w:rPr>
        <w:t>We emphasize that these regression models are reference baselines for representation validation only and are not part of the deployed, training-free TranscriptionSync pipeline. Their role here is twofold: (i) they confirm that the video-measured 14-channel ARKit ground truth introduced in this work is a learnable, non-degenerate signal substantially distinct from the rule-derived approximation used in the Layer-2 sanity checks, and (ii) they provide independent, architecture-level evidence — obtained without any of TranscriptionSync's hand-designed co-articulation rules — that consistent with the literature [14], causal-attention models track real articulatory dynamics more faithfully than recurrent baselines at comparable parameter budgets.</w:t>
      </w:r>
    </w:p>
    <w:p>
      <w:pPr>
        <w:spacing w:before="280"/>
      </w:pPr>
      <w:r>
        <w:rPr>
          <w:b/>
          <w:color w:val="1F3564"/>
          <w:sz w:val="25"/>
        </w:rPr>
        <w:t>VI. DISCUSSION</w:t>
      </w:r>
    </w:p>
    <w:p>
      <w:pPr>
        <w:spacing w:before="200"/>
      </w:pPr>
      <w:r>
        <w:rPr>
          <w:b/>
          <w:color w:val="2E74B5"/>
          <w:sz w:val="22"/>
        </w:rPr>
        <w:t>A. Implications</w:t>
      </w:r>
    </w:p>
    <w:p>
      <w:pPr>
        <w:jc w:val="both"/>
      </w:pPr>
      <w:r>
        <w:rPr>
          <w:sz w:val="21"/>
        </w:rPr>
        <w:t xml:space="preserve">The results give partial support to the hypothesis that word-level timing — recoverable from the output audio of any speech-to-speech model by a lightweight streaming recognizer — carries enough information to move lip synchronization closer to oracle quality on a CPU budget: on lip vertex distance, TSYNC is geometrically closest to the MFA oracle among the causal conditions, with kernel co-articulation (Eq. 6) rather than duration estimation (Eq. 4) responsible for the gain. SyncNet's LSE-D/LSE-C, however, do not corroborate this ordering on the stylized VRM render (Section V-C), so the oracle-equivalence claim should be read as geometric (LVD) rather than as established across all metrics. Two architectural devices generalize beyond this paper. First, the </w:t>
      </w:r>
      <w:r>
        <w:rPr>
          <w:i/>
          <w:sz w:val="21"/>
        </w:rPr>
        <w:t>playout-buffer synchronization model</w:t>
      </w:r>
      <w:r>
        <w:rPr>
          <w:sz w:val="21"/>
        </w:rPr>
        <w:t xml:space="preserve"> (Eq. 3) converts pipeline latency, the traditional enemy of real-time animation, into a bounded response-delay cost that users can tune; any client that controls audio presentation can apply it. Second, </w:t>
      </w:r>
      <w:r>
        <w:rPr>
          <w:i/>
          <w:sz w:val="21"/>
        </w:rPr>
        <w:t>word-bounded duration estimation</w:t>
      </w:r>
      <w:r>
        <w:rPr>
          <w:sz w:val="21"/>
        </w:rPr>
        <w:t xml:space="preserve"> (Eqs. 4–5) gives drift-free phoneme timing from word anchors alone, so any future source of word timing — including a timestamped transcription field, should API vendors expose one — would slot in without architectural change, and would simply remove the Layer-1 ASR cost. More broadly, the deployment system demonstrates that the historical engineering barrier to embodied assistants — a multi-second cascaded pipeline and a costly animation toolchain — has effectively collapsed: a single native-audio LLM session plus a browser rendering an open avatar format suffices.</w:t>
      </w:r>
    </w:p>
    <w:p>
      <w:pPr>
        <w:jc w:val="both"/>
      </w:pPr>
      <w:r>
        <w:rPr>
          <w:b/>
          <w:sz w:val="21"/>
        </w:rPr>
        <w:t>TABLE 9.</w:t>
      </w:r>
      <w:r>
        <w:rPr>
          <w:sz w:val="21"/>
        </w:rPr>
        <w:t xml:space="preserve"> Feature comparison with commercial assistants.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BDD7EE"/>
          </w:tcPr>
          <w:p>
            <w:r>
              <w:rPr>
                <w:b/>
                <w:sz w:val="19"/>
              </w:rPr>
              <w:t>Feature</w:t>
            </w:r>
          </w:p>
        </w:tc>
        <w:tc>
          <w:tcPr>
            <w:tcW w:type="dxa" w:w="1949"/>
            <w:shd w:val="clear" w:fill="BDD7EE"/>
          </w:tcPr>
          <w:p>
            <w:r>
              <w:rPr>
                <w:b/>
                <w:sz w:val="19"/>
              </w:rPr>
              <w:t>Alexa</w:t>
            </w:r>
          </w:p>
        </w:tc>
        <w:tc>
          <w:tcPr>
            <w:tcW w:type="dxa" w:w="1949"/>
            <w:shd w:val="clear" w:fill="BDD7EE"/>
          </w:tcPr>
          <w:p>
            <w:r>
              <w:rPr>
                <w:b/>
                <w:sz w:val="19"/>
              </w:rPr>
              <w:t>Google Assistant</w:t>
            </w:r>
          </w:p>
        </w:tc>
        <w:tc>
          <w:tcPr>
            <w:tcW w:type="dxa" w:w="1949"/>
            <w:shd w:val="clear" w:fill="BDD7EE"/>
          </w:tcPr>
          <w:p>
            <w:r>
              <w:rPr>
                <w:b/>
                <w:sz w:val="19"/>
              </w:rPr>
              <w:t>Siri</w:t>
            </w:r>
          </w:p>
        </w:tc>
        <w:tc>
          <w:tcPr>
            <w:tcW w:type="dxa" w:w="1949"/>
            <w:shd w:val="clear" w:fill="BDD7EE"/>
          </w:tcPr>
          <w:p>
            <w:r>
              <w:rPr>
                <w:b/>
                <w:sz w:val="19"/>
              </w:rPr>
              <w:t>A.T.L.A.S</w:t>
            </w:r>
          </w:p>
        </w:tc>
      </w:tr>
      <w:tr>
        <w:tc>
          <w:tcPr>
            <w:tcW w:type="dxa" w:w="1949"/>
          </w:tcPr>
          <w:p>
            <w:r>
              <w:rPr>
                <w:sz w:val="19"/>
              </w:rPr>
              <w:t>Visual embodiment</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3D VRM avatar</w:t>
            </w:r>
          </w:p>
        </w:tc>
      </w:tr>
      <w:tr>
        <w:tc>
          <w:tcPr>
            <w:tcW w:type="dxa" w:w="1949"/>
          </w:tcPr>
          <w:p>
            <w:r>
              <w:rPr>
                <w:sz w:val="19"/>
              </w:rPr>
              <w:t>Phoneme-plausible lip sync</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yes (transcription-driven)</w:t>
            </w:r>
          </w:p>
        </w:tc>
      </w:tr>
      <w:tr>
        <w:tc>
          <w:tcPr>
            <w:tcW w:type="dxa" w:w="1949"/>
          </w:tcPr>
          <w:p>
            <w:r>
              <w:rPr>
                <w:sz w:val="19"/>
              </w:rPr>
              <w:t>Speech-to-speech LLM core</w:t>
            </w:r>
          </w:p>
        </w:tc>
        <w:tc>
          <w:tcPr>
            <w:tcW w:type="dxa" w:w="1949"/>
          </w:tcPr>
          <w:p>
            <w:r>
              <w:rPr>
                <w:sz w:val="19"/>
              </w:rPr>
              <w:t>partial</w:t>
            </w:r>
          </w:p>
        </w:tc>
        <w:tc>
          <w:tcPr>
            <w:tcW w:type="dxa" w:w="1949"/>
          </w:tcPr>
          <w:p>
            <w:r>
              <w:rPr>
                <w:sz w:val="19"/>
              </w:rPr>
              <w:t>partial</w:t>
            </w:r>
          </w:p>
        </w:tc>
        <w:tc>
          <w:tcPr>
            <w:tcW w:type="dxa" w:w="1949"/>
          </w:tcPr>
          <w:p>
            <w:r>
              <w:rPr>
                <w:sz w:val="19"/>
              </w:rPr>
              <w:t>partial</w:t>
            </w:r>
          </w:p>
        </w:tc>
        <w:tc>
          <w:tcPr>
            <w:tcW w:type="dxa" w:w="1949"/>
          </w:tcPr>
          <w:p>
            <w:r>
              <w:rPr>
                <w:sz w:val="19"/>
              </w:rPr>
              <w:t>yes</w:t>
            </w:r>
          </w:p>
        </w:tc>
      </w:tr>
      <w:tr>
        <w:tc>
          <w:tcPr>
            <w:tcW w:type="dxa" w:w="1949"/>
          </w:tcPr>
          <w:p>
            <w:r>
              <w:rPr>
                <w:sz w:val="19"/>
              </w:rPr>
              <w:t>OS-level tool control</w:t>
            </w:r>
          </w:p>
        </w:tc>
        <w:tc>
          <w:tcPr>
            <w:tcW w:type="dxa" w:w="1949"/>
          </w:tcPr>
          <w:p>
            <w:r>
              <w:rPr>
                <w:sz w:val="19"/>
              </w:rPr>
              <w:t>limited</w:t>
            </w:r>
          </w:p>
        </w:tc>
        <w:tc>
          <w:tcPr>
            <w:tcW w:type="dxa" w:w="1949"/>
          </w:tcPr>
          <w:p>
            <w:r>
              <w:rPr>
                <w:sz w:val="19"/>
              </w:rPr>
              <w:t>limited</w:t>
            </w:r>
          </w:p>
        </w:tc>
        <w:tc>
          <w:tcPr>
            <w:tcW w:type="dxa" w:w="1949"/>
          </w:tcPr>
          <w:p>
            <w:r>
              <w:rPr>
                <w:sz w:val="19"/>
              </w:rPr>
              <w:t>limited</w:t>
            </w:r>
          </w:p>
        </w:tc>
        <w:tc>
          <w:tcPr>
            <w:tcW w:type="dxa" w:w="1949"/>
          </w:tcPr>
          <w:p>
            <w:r>
              <w:rPr>
                <w:sz w:val="19"/>
              </w:rPr>
              <w:t>19 tools</w:t>
            </w:r>
          </w:p>
        </w:tc>
      </w:tr>
      <w:tr>
        <w:tc>
          <w:tcPr>
            <w:tcW w:type="dxa" w:w="1949"/>
          </w:tcPr>
          <w:p>
            <w:r>
              <w:rPr>
                <w:sz w:val="19"/>
              </w:rPr>
              <w:t>Autonomous multi-step agent</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planner–executor</w:t>
            </w:r>
          </w:p>
        </w:tc>
      </w:tr>
      <w:tr>
        <w:tc>
          <w:tcPr>
            <w:tcW w:type="dxa" w:w="1949"/>
          </w:tcPr>
          <w:p>
            <w:r>
              <w:rPr>
                <w:sz w:val="19"/>
              </w:rPr>
              <w:t>Cross-session memory</w:t>
            </w:r>
          </w:p>
        </w:tc>
        <w:tc>
          <w:tcPr>
            <w:tcW w:type="dxa" w:w="1949"/>
          </w:tcPr>
          <w:p>
            <w:r>
              <w:rPr>
                <w:sz w:val="19"/>
              </w:rPr>
              <w:t>limited</w:t>
            </w:r>
          </w:p>
        </w:tc>
        <w:tc>
          <w:tcPr>
            <w:tcW w:type="dxa" w:w="1949"/>
          </w:tcPr>
          <w:p>
            <w:r>
              <w:rPr>
                <w:sz w:val="19"/>
              </w:rPr>
              <w:t>limited</w:t>
            </w:r>
          </w:p>
        </w:tc>
        <w:tc>
          <w:tcPr>
            <w:tcW w:type="dxa" w:w="1949"/>
          </w:tcPr>
          <w:p>
            <w:r>
              <w:rPr>
                <w:sz w:val="19"/>
              </w:rPr>
              <w:t>limited</w:t>
            </w:r>
          </w:p>
        </w:tc>
        <w:tc>
          <w:tcPr>
            <w:tcW w:type="dxa" w:w="1949"/>
          </w:tcPr>
          <w:p>
            <w:r>
              <w:rPr>
                <w:sz w:val="19"/>
              </w:rPr>
              <w:t>persistent, bounded</w:t>
            </w:r>
          </w:p>
        </w:tc>
      </w:tr>
      <w:tr>
        <w:tc>
          <w:tcPr>
            <w:tcW w:type="dxa" w:w="1949"/>
          </w:tcPr>
          <w:p>
            <w:r>
              <w:rPr>
                <w:sz w:val="19"/>
              </w:rPr>
              <w:t>Open architecture</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yes</w:t>
            </w:r>
          </w:p>
        </w:tc>
      </w:tr>
    </w:tbl>
    <w:p/>
    <w:p>
      <w:pPr>
        <w:spacing w:before="200"/>
      </w:pPr>
      <w:r>
        <w:rPr>
          <w:b/>
          <w:color w:val="2E74B5"/>
          <w:sz w:val="22"/>
        </w:rPr>
        <w:t>B. Limitations</w:t>
      </w:r>
    </w:p>
    <w:p>
      <w:pPr>
        <w:jc w:val="both"/>
      </w:pPr>
      <w:r>
        <w:rPr>
          <w:sz w:val="21"/>
        </w:rPr>
        <w:t xml:space="preserve">First, the objective evaluation of Section V-C raises a metric-validity question that remains open: SyncNet's LSE-D/LSE-C do not corroborate the LVD-based ordering on our stylized VRM render, and the desynchronization sanity check proposed in Section V-B to test SyncNet's applicability to this representation was not performed — until it is, LSE-D/LSE-C results on VRM avatars (ours or others') should be treated cautiously, and LVD against the MFA-oracle mesh is the more trustworthy of the two geometric/perceptual metrics reported here. Relatedly, the live word-start timing error (1380.9 ms, Section V-C) is far above the 65 ms composed accuracy measured on GRID (Section V-D); closing this gap — likely via onset/silence handling and pause-aware buffering for conversational (vs. read) speech — is necessary before the GRID-validated timing claims can be said to transfer to live deployment. We have also not yet instrumented the full live voice-to-voice pipeline (T₀–T₃), so end-to-end latency under the actual Gemini Live integration remains unmeasured — Section V-E reports component-wise Layer 1-3 costs only. Second, the playout buffer Δ adds a fixed response-latency cost; for English, Δ ≈ 215 ms is small relative to natural turn-taking gaps, but latency-sensitive applications may prefer the zero-delay RATE fallback, and an adaptive Δ tracking the recognizer's recent lag distribution would tighten the cost. Third, ASR errors propagate to articulation; the phonetic-similarity argument suggests this is rarely noticed, but proper-noun-dense or noisy-channel speech may degrade further — an error-aware confidence gate (falling back to RATE below a confidence threshold) is a straightforward hardening. Fourth, the duration priors λ are language-dependent; the present fixed design constants were validated only on English (Section V-D), where their margin over uniform splitting was modest on GRID's short words — per-language fitting against aligned conversational corpora is a clear avenue for tightening Layer-2 timing, and coverage beyond English and Turkish requires it. Fifth, SyncNet-based metrics are validated on human faces; a purpose-built sync metric for parameterized avatars is an open need for the field. Sixth, </w:t>
      </w:r>
      <w:r>
        <w:rPr>
          <w:b/>
          <w:sz w:val="21"/>
        </w:rPr>
        <w:t>Section V-E's central negative finding</w:t>
      </w:r>
      <w:r>
        <w:rPr>
          <w:sz w:val="21"/>
        </w:rPr>
        <w:t xml:space="preserve">: the smallest ("tiny", int8) multilingual Whisper checkpoint, while adequate for English (P95 emission lag 214 ms), is both far slower and unstable for Turkish (P95 = 4.9 s, with occasional multi-second decoding excursions on short utterances) — making Δ impractical for Turkish with this model. Production use for Turkish therefore requires either a larger/better-calibrated ASR model (at proportionally higher but still single-core CPU cost, not yet benchmarked) or the language-agnostic RATE fallback. Seventh, </w:t>
      </w:r>
      <w:r>
        <w:rPr>
          <w:b/>
          <w:sz w:val="21"/>
        </w:rPr>
        <w:t>Section V-D's accuracy finding</w:t>
      </w:r>
      <w:r>
        <w:rPr>
          <w:sz w:val="21"/>
        </w:rPr>
        <w:t>: composed phoneme timing with compact CPU recognizers (65 ms MAE) remains above the ±45 ms detectability bound, and the bottleneck is the recognizer's attention-derived word timestamps — which model scaling does not improve ("base" worsened start MAE despite lowering WER). Closing this gap requires better word-boundary estimation, not a larger recognizer; a lightweight streaming aligner (e.g., CTC-based boundary refinement over the same audio window) is the targeted remedy. Finally, the deployment system inherits cloud-LLM dependencies (network jitter, audio privacy) and an automation attack surface that we mitigate only by tool-description constraints; a formal permission model is needed before deployment beyond research settings.</w:t>
      </w:r>
    </w:p>
    <w:p>
      <w:pPr>
        <w:spacing w:before="200"/>
      </w:pPr>
      <w:r>
        <w:rPr>
          <w:b/>
          <w:color w:val="2E74B5"/>
          <w:sz w:val="22"/>
        </w:rPr>
        <w:t>C. Future Work</w:t>
      </w:r>
    </w:p>
    <w:p>
      <w:pPr>
        <w:jc w:val="both"/>
      </w:pPr>
      <w:r>
        <w:rPr>
          <w:sz w:val="21"/>
        </w:rPr>
        <w:t>Planned extensions include: completing the live end-to-end latency instrumentation (T₀–T₃) under the deployed Gemini Live integration; benchmarking larger Whisper checkpoints (base/small) for Turkish Layer-1 emission lag to find a practical Δ; improving Layer-1 word-timestamp precision below the ±45 ms bound via lightweight streaming boundary refinement (CTC- or alignment-head-based), which Section V-D identifies as the composed-accuracy bottleneck; a learned sequence-to-sequence duration-and-viseme model trained on audiovisual corpora (LRS3-TED) with TranscriptionSync as the training-free baseline and its pseudo-ground-truth pipeline as the label source; adaptive playout-buffer sizing; speaking-rate-adaptive priors; learned affect recognition replacing the keyword-based emotion layer; and a perceptual user study (MOS and paired preference across AMP/RATE/TSYNC/MFA conditions) once the live pipeline is fully instrumented.</w:t>
      </w:r>
    </w:p>
    <w:p>
      <w:pPr>
        <w:spacing w:before="280"/>
      </w:pPr>
      <w:r>
        <w:rPr>
          <w:b/>
          <w:color w:val="1F3564"/>
          <w:sz w:val="25"/>
        </w:rPr>
        <w:t>VII. CONCLUSION</w:t>
      </w:r>
    </w:p>
    <w:p>
      <w:pPr>
        <w:jc w:val="both"/>
      </w:pPr>
      <w:r>
        <w:rPr>
          <w:sz w:val="21"/>
        </w:rPr>
        <w:t>We identified and formalized a problem created by the shift to native-audio LLMs — causal, phoneme-timing-free, CPU-budget lip synchronization — and presented TranscriptionSync, a three-layer training-free solution: streaming word-timestamp recognition with a playout-buffer synchronization model, word-bounded phoneme duration estimation with drift-free bounded error, and kernel co-articulated synthesis of 14 ARKit blendshape channels at 60 fps with closure-dominance protection. Objective evaluation against an amplitude-only baseline, the deployed rate-scheduled variant, and a non-causal forced-alignment oracle on 50 rendered live-system utterances shows TSYNC closest to the oracle on lip vertex distance — driven by co-articulation rather than duration estimation — while SyncNet LSE-D/LSE-C do not corroborate this ordering on the stylized avatar render, a metric-validity finding reported in Section V-C. This is combined with a layer-wise timing validation on 6 000 held-out GRID utterances (Section V-D), measured component-wise latency and CPU cost for all three TranscriptionSync layers (Section V-E), and an auxiliary GRID-based validation of the ARKit target representation (Section V-F). The layer-wise validation establishes that word-bounded duration estimation is accurate in isolation (18 ms phoneme-midpoint MAE against forced alignment, below the ±45 ms detectability bound) and that composed accuracy is bounded by the compact recognizer's word timestamps (65 ms), not by duration estimation. Layers 2-3 occupy under 0.3% of one CPU core with sub-millisecond latency; Layer 1 dominates the budget and is practical for English (Δ ≈ 215 ms) but reveals a language asymmetry that makes the smallest Whisper model impractical for Turkish (P95 emission lag 4.9 s), motivating the future work of Section VI-C. The method ships inside A.T.L.A.S, a complete embodied desktop assistant on Gemini 2.5 Flash Native Audio — full-duplex audio, 19-tool LLM orchestration, autonomous planning, persistent memory, and a browser VRM avatar — demonstrating end-to-end practicality on consumer hardware. As speech-to-speech models become the default conversational substrate, we expect timing recovery from the output audio stream to become a standard architectural pattern for embodied agents; this paper provides its first published formulation and quantitative assessment.</w:t>
      </w:r>
    </w:p>
    <w:p>
      <w:pPr>
        <w:spacing w:before="280"/>
      </w:pPr>
      <w:r>
        <w:rPr>
          <w:b/>
          <w:color w:val="1F3564"/>
          <w:sz w:val="25"/>
        </w:rPr>
        <w:t>APPENDIX A. REPRODUCIBILITY</w:t>
      </w:r>
    </w:p>
    <w:p>
      <w:pPr>
        <w:jc w:val="both"/>
      </w:pPr>
      <w:r>
        <w:rPr>
          <w:sz w:val="21"/>
        </w:rPr>
        <w:t>The complete source code of A.T.L.A.S (approximately 14 900 lines of Python and JavaScript), including the viseme table, study task scripts, and measurement instrumentation, is available from the authors upon reasonable request.</w:t>
      </w:r>
    </w:p>
    <w:p>
      <w:pPr>
        <w:spacing w:before="280"/>
      </w:pPr>
      <w:r>
        <w:rPr>
          <w:b/>
          <w:color w:val="1F3564"/>
          <w:sz w:val="25"/>
        </w:rPr>
        <w:t>REFERENCES</w:t>
      </w:r>
    </w:p>
    <w:p>
      <w:r>
        <w:rPr>
          <w:sz w:val="21"/>
        </w:rPr>
        <w:t xml:space="preserve">[1] M. Porcheron, J. E. Fischer, S. Reeves, and S. Sharples, "Voice interfaces in everyday life," in </w:t>
      </w:r>
      <w:r>
        <w:rPr>
          <w:i/>
          <w:sz w:val="21"/>
        </w:rPr>
        <w:t>Proc. ACM CHI Conf. Human Factors Comput. Syst.</w:t>
      </w:r>
      <w:r>
        <w:rPr>
          <w:sz w:val="21"/>
        </w:rPr>
        <w:t>, 2018, pp. 1–12.</w:t>
      </w:r>
    </w:p>
    <w:p>
      <w:r>
        <w:rPr>
          <w:sz w:val="21"/>
        </w:rPr>
        <w:t xml:space="preserve">[2] L. Clark et al., "The state of speech in HCI: Trends, themes and challenges," </w:t>
      </w:r>
      <w:r>
        <w:rPr>
          <w:i/>
          <w:sz w:val="21"/>
        </w:rPr>
        <w:t>Interact. Comput.</w:t>
      </w:r>
      <w:r>
        <w:rPr>
          <w:sz w:val="21"/>
        </w:rPr>
        <w:t>, vol. 31, no. 4, pp. 349–371, 2019.</w:t>
      </w:r>
    </w:p>
    <w:p>
      <w:r>
        <w:rPr>
          <w:sz w:val="21"/>
        </w:rPr>
        <w:t xml:space="preserve">[3] J. Cassell, J. Sullivan, S. Prevost, and E. Churchill, </w:t>
      </w:r>
      <w:r>
        <w:rPr>
          <w:i/>
          <w:sz w:val="21"/>
        </w:rPr>
        <w:t>Embodied Conversational Agents</w:t>
      </w:r>
      <w:r>
        <w:rPr>
          <w:sz w:val="21"/>
        </w:rPr>
        <w:t>. Cambridge, MA, USA: MIT Press, 2000.</w:t>
      </w:r>
    </w:p>
    <w:p>
      <w:r>
        <w:rPr>
          <w:sz w:val="21"/>
        </w:rPr>
        <w:t xml:space="preserve">[4] C. Breazeal, "Toward sociable robots," </w:t>
      </w:r>
      <w:r>
        <w:rPr>
          <w:i/>
          <w:sz w:val="21"/>
        </w:rPr>
        <w:t>Robot. Auton. Syst.</w:t>
      </w:r>
      <w:r>
        <w:rPr>
          <w:sz w:val="21"/>
        </w:rPr>
        <w:t>, vol. 42, no. 3–4, pp. 167–175, 2003.</w:t>
      </w:r>
    </w:p>
    <w:p>
      <w:r>
        <w:rPr>
          <w:sz w:val="21"/>
        </w:rPr>
        <w:t xml:space="preserve">[5] J. Li, "The benefit of being physically present: A survey of experimental works comparing copresent robots, telepresent robots and virtual agents," </w:t>
      </w:r>
      <w:r>
        <w:rPr>
          <w:i/>
          <w:sz w:val="21"/>
        </w:rPr>
        <w:t>Int. J. Hum.-Comput. Stud.</w:t>
      </w:r>
      <w:r>
        <w:rPr>
          <w:sz w:val="21"/>
        </w:rPr>
        <w:t>, vol. 77, pp. 23–37, 2015.</w:t>
      </w:r>
    </w:p>
    <w:p>
      <w:r>
        <w:rPr>
          <w:sz w:val="21"/>
        </w:rPr>
        <w:t xml:space="preserve">[6] G. Skantze, "Turn-taking in conversational systems and human-robot interaction: A review," </w:t>
      </w:r>
      <w:r>
        <w:rPr>
          <w:i/>
          <w:sz w:val="21"/>
        </w:rPr>
        <w:t>Comput. Speech Lang.</w:t>
      </w:r>
      <w:r>
        <w:rPr>
          <w:sz w:val="21"/>
        </w:rPr>
        <w:t>, vol. 67, p. 101178, 2021.</w:t>
      </w:r>
    </w:p>
    <w:p>
      <w:r>
        <w:rPr>
          <w:sz w:val="21"/>
        </w:rPr>
        <w:t>[7] OpenAI, "GPT-4o system card," OpenAI, Tech. Rep., 2024. [Online]. Available: https://openai.com/index/gpt-4o-system-card/</w:t>
      </w:r>
    </w:p>
    <w:p>
      <w:r>
        <w:rPr>
          <w:sz w:val="21"/>
        </w:rPr>
        <w:t>[8] Google DeepMind, "Gemini 2.5: Pushing the frontier with advanced reasoning, multimodality, long context, and next generation agentic capabilities," Google, Tech. Rep., 2025. [Online]. Available: https://deepmind.google/technologies/gemini/</w:t>
      </w:r>
    </w:p>
    <w:p>
      <w:r>
        <w:rPr>
          <w:sz w:val="21"/>
        </w:rPr>
        <w:t xml:space="preserve">[9] M. McAuliffe, M. Socolof, S. Mihuc, M. Wagner, and M. Sonderegger, "Montreal Forced Aligner: Trainable text-speech alignment using Kaldi," in </w:t>
      </w:r>
      <w:r>
        <w:rPr>
          <w:i/>
          <w:sz w:val="21"/>
        </w:rPr>
        <w:t>Proc. Interspeech</w:t>
      </w:r>
      <w:r>
        <w:rPr>
          <w:sz w:val="21"/>
        </w:rPr>
        <w:t>, 2017, pp. 498–502.</w:t>
      </w:r>
    </w:p>
    <w:p>
      <w:r>
        <w:rPr>
          <w:sz w:val="21"/>
        </w:rPr>
        <w:t xml:space="preserve">[10] P. Edwards, C. Landreth, E. Fiume, and K. Singh, "JALI: An animator-centric viseme model for expressive lip synchronization," </w:t>
      </w:r>
      <w:r>
        <w:rPr>
          <w:i/>
          <w:sz w:val="21"/>
        </w:rPr>
        <w:t>ACM Trans. Graph.</w:t>
      </w:r>
      <w:r>
        <w:rPr>
          <w:sz w:val="21"/>
        </w:rPr>
        <w:t>, vol. 35, no. 4, pp. 1–11, 2016.</w:t>
      </w:r>
    </w:p>
    <w:p>
      <w:r>
        <w:rPr>
          <w:sz w:val="21"/>
        </w:rPr>
        <w:t xml:space="preserve">[11] S. Taylor et al., "A deep learning approach for generalized speech animation," </w:t>
      </w:r>
      <w:r>
        <w:rPr>
          <w:i/>
          <w:sz w:val="21"/>
        </w:rPr>
        <w:t>ACM Trans. Graph.</w:t>
      </w:r>
      <w:r>
        <w:rPr>
          <w:sz w:val="21"/>
        </w:rPr>
        <w:t>, vol. 36, no. 4, pp. 1–11, 2017.</w:t>
      </w:r>
    </w:p>
    <w:p>
      <w:r>
        <w:rPr>
          <w:sz w:val="21"/>
        </w:rPr>
        <w:t xml:space="preserve">[12] J. Kiseleva et al., "Understanding user satisfaction with intelligent assistants," in </w:t>
      </w:r>
      <w:r>
        <w:rPr>
          <w:i/>
          <w:sz w:val="21"/>
        </w:rPr>
        <w:t>Proc. ACM CHIIR</w:t>
      </w:r>
      <w:r>
        <w:rPr>
          <w:sz w:val="21"/>
        </w:rPr>
        <w:t>, 2016, pp. 121–130.</w:t>
      </w:r>
    </w:p>
    <w:p>
      <w:r>
        <w:rPr>
          <w:sz w:val="21"/>
        </w:rPr>
        <w:t xml:space="preserve">[13] K. M. Lee, Y. Jung, J. Kim, and S. R. Kim, "Are physically embodied social agents better than disembodied social agents? The effects of physical embodiment, tactile interaction, and people's loneliness in human–robot interaction," </w:t>
      </w:r>
      <w:r>
        <w:rPr>
          <w:i/>
          <w:sz w:val="21"/>
        </w:rPr>
        <w:t>Int. J. Hum.-Comput. Stud.</w:t>
      </w:r>
      <w:r>
        <w:rPr>
          <w:sz w:val="21"/>
        </w:rPr>
        <w:t>, vol. 64, no. 10, pp. 962–973, 2006.</w:t>
      </w:r>
    </w:p>
    <w:p>
      <w:r>
        <w:rPr>
          <w:sz w:val="21"/>
        </w:rPr>
        <w:t xml:space="preserve">[14] A. Vaswani et al., "Attention is all you need," in </w:t>
      </w:r>
      <w:r>
        <w:rPr>
          <w:i/>
          <w:sz w:val="21"/>
        </w:rPr>
        <w:t>Adv. Neural Inf. Process. Syst.</w:t>
      </w:r>
      <w:r>
        <w:rPr>
          <w:sz w:val="21"/>
        </w:rPr>
        <w:t>, vol. 30, 2017.</w:t>
      </w:r>
    </w:p>
    <w:p>
      <w:r>
        <w:rPr>
          <w:sz w:val="21"/>
        </w:rPr>
        <w:t xml:space="preserve">[15] T. B. Brown et al., "Language models are few-shot learners," in </w:t>
      </w:r>
      <w:r>
        <w:rPr>
          <w:i/>
          <w:sz w:val="21"/>
        </w:rPr>
        <w:t>Adv. Neural Inf. Process. Syst.</w:t>
      </w:r>
      <w:r>
        <w:rPr>
          <w:sz w:val="21"/>
        </w:rPr>
        <w:t>, vol. 33, 2020, pp. 1877–1901.</w:t>
      </w:r>
    </w:p>
    <w:p>
      <w:r>
        <w:rPr>
          <w:sz w:val="21"/>
        </w:rPr>
        <w:t xml:space="preserve">[16] J. Wei et al., "Chain-of-thought prompting elicits reasoning in large language models," in </w:t>
      </w:r>
      <w:r>
        <w:rPr>
          <w:i/>
          <w:sz w:val="21"/>
        </w:rPr>
        <w:t>Adv. Neural Inf. Process. Syst.</w:t>
      </w:r>
      <w:r>
        <w:rPr>
          <w:sz w:val="21"/>
        </w:rPr>
        <w:t>, vol. 35, 2022.</w:t>
      </w:r>
    </w:p>
    <w:p>
      <w:r>
        <w:rPr>
          <w:sz w:val="21"/>
        </w:rPr>
        <w:t xml:space="preserve">[17] T. Schick et al., "Toolformer: Language models can teach themselves to use tools," in </w:t>
      </w:r>
      <w:r>
        <w:rPr>
          <w:i/>
          <w:sz w:val="21"/>
        </w:rPr>
        <w:t>Adv. Neural Inf. Process. Syst.</w:t>
      </w:r>
      <w:r>
        <w:rPr>
          <w:sz w:val="21"/>
        </w:rPr>
        <w:t>, vol. 36, 2023.</w:t>
      </w:r>
    </w:p>
    <w:p>
      <w:r>
        <w:rPr>
          <w:sz w:val="21"/>
        </w:rPr>
        <w:t xml:space="preserve">[18] J. S. Park, J. C. O'Brien, C. J. Cai, M. R. Morris, P. Liang, and M. S. Bernstein, "Generative agents: Interactive simulacra of human behavior," in </w:t>
      </w:r>
      <w:r>
        <w:rPr>
          <w:i/>
          <w:sz w:val="21"/>
        </w:rPr>
        <w:t>Proc. ACM UIST</w:t>
      </w:r>
      <w:r>
        <w:rPr>
          <w:sz w:val="21"/>
        </w:rPr>
        <w:t>, 2023, pp. 1–22.</w:t>
      </w:r>
    </w:p>
    <w:p>
      <w:r>
        <w:rPr>
          <w:sz w:val="21"/>
        </w:rPr>
        <w:t xml:space="preserve">[19] C. G. Fisher, "Confusions among visually perceived consonants," </w:t>
      </w:r>
      <w:r>
        <w:rPr>
          <w:i/>
          <w:sz w:val="21"/>
        </w:rPr>
        <w:t>J. Speech Hear. Res.</w:t>
      </w:r>
      <w:r>
        <w:rPr>
          <w:sz w:val="21"/>
        </w:rPr>
        <w:t>, vol. 11, no. 4, pp. 796–804, 1968.</w:t>
      </w:r>
    </w:p>
    <w:p>
      <w:r>
        <w:rPr>
          <w:sz w:val="21"/>
        </w:rPr>
        <w:t xml:space="preserve">[20] T. Karras, T. Aila, S. Laine, A. Herva, and J. Lehtinen, "Audio-driven facial animation by joint end-to-end learning of pose and emotion," </w:t>
      </w:r>
      <w:r>
        <w:rPr>
          <w:i/>
          <w:sz w:val="21"/>
        </w:rPr>
        <w:t>ACM Trans. Graph.</w:t>
      </w:r>
      <w:r>
        <w:rPr>
          <w:sz w:val="21"/>
        </w:rPr>
        <w:t>, vol. 36, no. 4, pp. 1–12, 2017.</w:t>
      </w:r>
    </w:p>
    <w:p>
      <w:r>
        <w:rPr>
          <w:sz w:val="21"/>
        </w:rPr>
        <w:t xml:space="preserve">[21] K. R. Prajwal, R. Mukhopadhyay, V. P. Namboodiri, and C. V. Jawahar, "A lip sync expert is all you need for speech to lip generation in the wild," in </w:t>
      </w:r>
      <w:r>
        <w:rPr>
          <w:i/>
          <w:sz w:val="21"/>
        </w:rPr>
        <w:t>Proc. ACM Multimedia</w:t>
      </w:r>
      <w:r>
        <w:rPr>
          <w:sz w:val="21"/>
        </w:rPr>
        <w:t>, 2020, pp. 484–492.</w:t>
      </w:r>
    </w:p>
    <w:p>
      <w:r>
        <w:rPr>
          <w:sz w:val="21"/>
        </w:rPr>
        <w:t>[22] Meta Platforms, "Oculus Lipsync SDK documentation," 2023. [Online]. Available: https://developers.meta.com/horizon/documentation/</w:t>
      </w:r>
    </w:p>
    <w:p>
      <w:r>
        <w:rPr>
          <w:sz w:val="21"/>
        </w:rPr>
        <w:t>[23] VRM Consortium, "VRM: A file format for 3D avatars," 2024. [Online]. Available: https://vrm.dev/en/</w:t>
      </w:r>
    </w:p>
    <w:p>
      <w:r>
        <w:rPr>
          <w:sz w:val="21"/>
        </w:rPr>
        <w:t>[24] Pixiv Inc., "three-vrm: VRM utilities for three.js," 2024. [Online]. Available: https://github.com/pixiv/three-vrm</w:t>
      </w:r>
    </w:p>
    <w:p>
      <w:r>
        <w:rPr>
          <w:sz w:val="21"/>
        </w:rPr>
        <w:t>[25] Apple Inc., "ARFaceAnchor.BlendShapeLocation — ARKit developer documentation," 2023. [Online]. Available: https://developer.apple.com/documentation/arkit/</w:t>
      </w:r>
    </w:p>
    <w:p>
      <w:r>
        <w:rPr>
          <w:sz w:val="21"/>
        </w:rPr>
        <w:t xml:space="preserve">[26] T. Stivers et al., "Universals and cultural variation in turn-taking in conversation," </w:t>
      </w:r>
      <w:r>
        <w:rPr>
          <w:i/>
          <w:sz w:val="21"/>
        </w:rPr>
        <w:t>Proc. Natl. Acad. Sci. USA</w:t>
      </w:r>
      <w:r>
        <w:rPr>
          <w:sz w:val="21"/>
        </w:rPr>
        <w:t>, vol. 106, no. 26, pp. 10587–10592, 2009.</w:t>
      </w:r>
    </w:p>
    <w:p>
      <w:r>
        <w:rPr>
          <w:sz w:val="21"/>
        </w:rPr>
        <w:t>[27] International Telecommunication Union, "Relative timing of sound and vision for broadcasting," ITU-R Recommendation BT.1359-1, 1998.</w:t>
      </w:r>
    </w:p>
    <w:p>
      <w:r>
        <w:rPr>
          <w:sz w:val="21"/>
        </w:rPr>
        <w:t xml:space="preserve">[28] J. Brooke, "SUS: A 'quick and dirty' usability scale," in </w:t>
      </w:r>
      <w:r>
        <w:rPr>
          <w:i/>
          <w:sz w:val="21"/>
        </w:rPr>
        <w:t>Usability Evaluation in Industry</w:t>
      </w:r>
      <w:r>
        <w:rPr>
          <w:sz w:val="21"/>
        </w:rPr>
        <w:t>, P. W. Jordan et al., Eds. London, U.K.: Taylor &amp; Francis, 1996, pp. 189–194.</w:t>
      </w:r>
    </w:p>
    <w:p>
      <w:r>
        <w:rPr>
          <w:sz w:val="21"/>
        </w:rPr>
        <w:t xml:space="preserve">[29] H. L. O'Brien, P. Cairns, and M. Hall, "A practical approach to measuring user engagement with the refined user engagement scale (UES) and new UES short form," </w:t>
      </w:r>
      <w:r>
        <w:rPr>
          <w:i/>
          <w:sz w:val="21"/>
        </w:rPr>
        <w:t>Int. J. Hum.-Comput. Stud.</w:t>
      </w:r>
      <w:r>
        <w:rPr>
          <w:sz w:val="21"/>
        </w:rPr>
        <w:t>, vol. 112, pp. 28–39, 2018.</w:t>
      </w:r>
    </w:p>
    <w:p>
      <w:r>
        <w:rPr>
          <w:sz w:val="21"/>
        </w:rPr>
        <w:t xml:space="preserve">[30] J.-Y. Jian, A. M. Bisantz, and C. G. Drury, "Foundations for an empirically determined scale of trust in automated systems," </w:t>
      </w:r>
      <w:r>
        <w:rPr>
          <w:i/>
          <w:sz w:val="21"/>
        </w:rPr>
        <w:t>Int. J. Cogn. Ergon.</w:t>
      </w:r>
      <w:r>
        <w:rPr>
          <w:sz w:val="21"/>
        </w:rPr>
        <w:t>, vol. 4, no. 1, pp. 53–71, 2000.</w:t>
      </w:r>
    </w:p>
    <w:p>
      <w:r>
        <w:rPr>
          <w:sz w:val="21"/>
        </w:rPr>
        <w:t xml:space="preserve">[31] A. Bangor, P. T. Kortum, and J. T. Miller, "An empirical evaluation of the System Usability Scale," </w:t>
      </w:r>
      <w:r>
        <w:rPr>
          <w:i/>
          <w:sz w:val="21"/>
        </w:rPr>
        <w:t>Int. J. Hum.–Comput. Interact.</w:t>
      </w:r>
      <w:r>
        <w:rPr>
          <w:sz w:val="21"/>
        </w:rPr>
        <w:t>, vol. 24, no. 6, pp. 574–594, 2008.</w:t>
      </w:r>
    </w:p>
    <w:p>
      <w:r>
        <w:rPr>
          <w:sz w:val="21"/>
        </w:rPr>
        <w:t xml:space="preserve">[32] C. Lugaresi et al., "MediaPipe: A framework for building perception pipelines," </w:t>
      </w:r>
      <w:r>
        <w:rPr>
          <w:i/>
          <w:sz w:val="21"/>
        </w:rPr>
        <w:t>arXiv:1906.08172</w:t>
      </w:r>
      <w:r>
        <w:rPr>
          <w:sz w:val="21"/>
        </w:rPr>
        <w:t>, 2019.</w:t>
      </w:r>
    </w:p>
    <w:p>
      <w:r>
        <w:rPr>
          <w:sz w:val="21"/>
        </w:rPr>
        <w:t xml:space="preserve">[33] A. Radford et al., "Robust speech recognition via large-scale weak supervision," in </w:t>
      </w:r>
      <w:r>
        <w:rPr>
          <w:i/>
          <w:sz w:val="21"/>
        </w:rPr>
        <w:t>Proc. ICML</w:t>
      </w:r>
      <w:r>
        <w:rPr>
          <w:sz w:val="21"/>
        </w:rPr>
        <w:t>, 2023, pp. 28492–28518.</w:t>
      </w:r>
    </w:p>
    <w:p>
      <w:r>
        <w:rPr>
          <w:sz w:val="21"/>
        </w:rPr>
        <w:t xml:space="preserve">[34] D. E. Smalley et al., "A photophoretic-trap volumetric display," </w:t>
      </w:r>
      <w:r>
        <w:rPr>
          <w:i/>
          <w:sz w:val="21"/>
        </w:rPr>
        <w:t>Nature</w:t>
      </w:r>
      <w:r>
        <w:rPr>
          <w:sz w:val="21"/>
        </w:rPr>
        <w:t>, vol. 553, no. 7689, pp. 486–490, 2018.</w:t>
      </w:r>
    </w:p>
    <w:p>
      <w:r>
        <w:rPr>
          <w:sz w:val="21"/>
        </w:rPr>
        <w:t xml:space="preserve">[35] S. Turkle, W. Taggart, C. D. Kidd, and O. Dasté, "Relational artifacts with children and elders: The complexities of cybercompanionship," </w:t>
      </w:r>
      <w:r>
        <w:rPr>
          <w:i/>
          <w:sz w:val="21"/>
        </w:rPr>
        <w:t>Connect. Sci.</w:t>
      </w:r>
      <w:r>
        <w:rPr>
          <w:sz w:val="21"/>
        </w:rPr>
        <w:t>, vol. 18, no. 4, pp. 347–361, 2006.</w:t>
      </w:r>
    </w:p>
    <w:p>
      <w:r>
        <w:rPr>
          <w:sz w:val="21"/>
        </w:rPr>
        <w:t xml:space="preserve">[36] H. Liu et al., "Livatar-1: Real-time talking heads generation with tailored flow matching," </w:t>
      </w:r>
      <w:r>
        <w:rPr>
          <w:i/>
          <w:sz w:val="21"/>
        </w:rPr>
        <w:t>arXiv:2507.18649</w:t>
      </w:r>
      <w:r>
        <w:rPr>
          <w:sz w:val="21"/>
        </w:rPr>
        <w:t>, 2025.</w:t>
      </w:r>
    </w:p>
    <w:p>
      <w:r>
        <w:rPr>
          <w:sz w:val="21"/>
        </w:rPr>
        <w:t xml:space="preserve">[37] C. Low and W. Wang, "TalkingMachines: Real-time audio-driven FaceTime-style video via autoregressive diffusion models," </w:t>
      </w:r>
      <w:r>
        <w:rPr>
          <w:i/>
          <w:sz w:val="21"/>
        </w:rPr>
        <w:t>arXiv:2506.03099</w:t>
      </w:r>
      <w:r>
        <w:rPr>
          <w:sz w:val="21"/>
        </w:rPr>
        <w:t>, 2025.</w:t>
      </w:r>
    </w:p>
    <w:p>
      <w:r>
        <w:rPr>
          <w:sz w:val="21"/>
        </w:rPr>
        <w:t>[38] Agora Inc., "Build real-time AI avatars with lip sync using Agora ConvoAI," Technical Blog, 2025. [Online]. Available: https://www.agora.io/en/blog/build-real-time-ai-avatars-with-lip-sync-using-agora-convoai-rpm/</w:t>
      </w:r>
    </w:p>
    <w:p>
      <w:r>
        <w:rPr>
          <w:sz w:val="21"/>
        </w:rPr>
        <w:t>[39] Mascot Bot, "Gemini Live API avatar integration — interactive AI avatar with lip sync," SDK Documentation, 2025. [Online]. Available: https://docs.mascot.bot/libraries/gemini-live-api-avatar</w:t>
      </w:r>
    </w:p>
    <w:p>
      <w:r>
        <w:rPr>
          <w:sz w:val="21"/>
        </w:rPr>
        <w:t xml:space="preserve">[40] J. S. Chung and A. Zisserman, "Out of time: Automated lip sync in the wild," in </w:t>
      </w:r>
      <w:r>
        <w:rPr>
          <w:i/>
          <w:sz w:val="21"/>
        </w:rPr>
        <w:t>Proc. ACCV Workshops</w:t>
      </w:r>
      <w:r>
        <w:rPr>
          <w:sz w:val="21"/>
        </w:rPr>
        <w:t>, 2016, pp. 251–263.</w:t>
      </w:r>
    </w:p>
    <w:p>
      <w:r>
        <w:rPr>
          <w:sz w:val="21"/>
        </w:rPr>
        <w:t xml:space="preserve">[41] M. M. Cohen and D. W. Massaro, "Modeling coarticulation in synthetic visual speech," in </w:t>
      </w:r>
      <w:r>
        <w:rPr>
          <w:i/>
          <w:sz w:val="21"/>
        </w:rPr>
        <w:t>Models and Techniques in Computer Animation</w:t>
      </w:r>
      <w:r>
        <w:rPr>
          <w:sz w:val="21"/>
        </w:rPr>
        <w:t>, N. M. Thalmann and D. Thalmann, Eds. Tokyo, Japan: Springer, 1993, pp. 139–156.</w:t>
      </w:r>
    </w:p>
    <w:p>
      <w:r>
        <w:rPr>
          <w:sz w:val="21"/>
        </w:rPr>
        <w:t xml:space="preserve">[42] D. Macháček, R. Dabre, and O. Bojar, "Turning Whisper into real-time transcription system," in </w:t>
      </w:r>
      <w:r>
        <w:rPr>
          <w:i/>
          <w:sz w:val="21"/>
        </w:rPr>
        <w:t>Proc. IJCNLP-AACL System Demonstrations</w:t>
      </w:r>
      <w:r>
        <w:rPr>
          <w:sz w:val="21"/>
        </w:rPr>
        <w:t>, 2023, pp. 17–24.</w:t>
      </w:r>
    </w:p>
    <w:p>
      <w:r>
        <w:rPr>
          <w:sz w:val="21"/>
        </w:rPr>
        <w:t xml:space="preserve">[43] M. Cooke, J. Barker, S. Cunningham, and X. Shao, "An audio-visual corpus for speech perception and automatic speech recognition," </w:t>
      </w:r>
      <w:r>
        <w:rPr>
          <w:i/>
          <w:sz w:val="21"/>
        </w:rPr>
        <w:t>J. Acoust. Soc. Am.</w:t>
      </w:r>
      <w:r>
        <w:rPr>
          <w:sz w:val="21"/>
        </w:rPr>
        <w:t>, vol. 120, no. 5, pp. 2421–2424, 2006.</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