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Phoneme-Aware Real-Time Lip Synchronization for Native-Audio Large Language Models, Deployed in A.T.L.A.S — a Fully Implemented Embodied Desktop Assistant</w:t>
      </w:r>
    </w:p>
    <w:p>
      <w:pPr>
        <w:jc w:val="both"/>
      </w:pPr>
      <w:r>
        <w:rPr>
          <w:b/>
          <w:sz w:val="21"/>
        </w:rPr>
        <w:t>Asst. Prof. Dr. Murat ARSLAN</w:t>
      </w:r>
      <w:r>
        <w:rPr>
          <w:sz w:val="21"/>
        </w:rPr>
        <w:t>¹</w:t>
      </w:r>
    </w:p>
    <w:p>
      <w:pPr>
        <w:jc w:val="both"/>
      </w:pPr>
      <w:r>
        <w:rPr>
          <w:sz w:val="21"/>
        </w:rPr>
        <w:t>¹ Department of Software Engineering, Altınbaş Cyprus University, Cyprus</w:t>
      </w:r>
    </w:p>
    <w:p>
      <w:pPr>
        <w:jc w:val="both"/>
      </w:pPr>
      <w:r>
        <w:rPr>
          <w:sz w:val="21"/>
        </w:rPr>
        <w:t>Corresponding author: Murat Arslan (e-mail: research@wpu.edu.tr).</w:t>
      </w:r>
    </w:p>
    <w:p>
      <w:pPr>
        <w:spacing w:before="280"/>
      </w:pPr>
      <w:r>
        <w:rPr>
          <w:b/>
          <w:color w:val="1F3564"/>
          <w:sz w:val="25"/>
        </w:rPr>
        <w:t>ABSTRACT</w:t>
      </w:r>
    </w:p>
    <w:p>
      <w:pPr>
        <w:jc w:val="both"/>
      </w:pPr>
      <w:r>
        <w:rPr>
          <w:sz w:val="21"/>
        </w:rPr>
        <w:t xml:space="preserve">Native-audio (speech-to-speech) large language models collapse the recognition/generation/synthesis cascade into a single model with near-human turn-taking latency, but emit raw PCM with no phoneme timing — invalidating the established lip-sync toolchain: phoneme- and alignment-driven pipelines are non-causal, and learned audio-driven animation needs GPU budgets unavailable on consumer desktops. We formalize causal, phoneme-timing-free, CPU-budget lip synchronization and present </w:t>
      </w:r>
      <w:r>
        <w:rPr>
          <w:b/>
          <w:sz w:val="21"/>
        </w:rPr>
        <w:t>TranscriptionSync</w:t>
      </w:r>
      <w:r>
        <w:rPr>
          <w:sz w:val="21"/>
        </w:rPr>
        <w:t xml:space="preserve">, a training-free three-layer solution. Layer 1 recovers word timing from the output audio with a streaming recognizer; a </w:t>
      </w:r>
      <w:r>
        <w:rPr>
          <w:i/>
          <w:sz w:val="21"/>
        </w:rPr>
        <w:t>playout-buffer model</w:t>
      </w:r>
      <w:r>
        <w:rPr>
          <w:sz w:val="21"/>
        </w:rPr>
        <w:t xml:space="preserve"> converts its latency into a bounded, tunable response delay rather than desynchronization. Layer 2 distributes each word interval across its phonemes by articulatory-class priors, giving drift-free, per-word-bounded timing. Layer 3 synthesizes 14 ARKit mouth blendshapes at 60 fps by Gaussian-kernel co-articulation with a bilabial closure-dominance rule. On 50 live-system utterances, against an amplitude-only baseline, the deployed rate-scheduled variant, and a non-causal forced-alignment oracle, TSYNC attains the lowest lip-vertex distance to the oracle (0.461 vs. 0.520/0.556, Holm-corrected Wilcoxon p &lt; 10⁻⁶), with co-articulation, not duration estimation, the driver; SyncNet LSE-C/LSE-D do not corroborate this, and a data-driven check finds them invalid on the untextured avatar — which we report rather than omit. Layers 2–3 cost under 0.3% of one CPU core; Layer 1 dominates, practical for English (P95 emission lag 214 ms) but not Turkish (4.9 s) at the smallest model. On 6 000 GRID utterances Layer 2 reaches 18 ms phoneme-midpoint accuracy (below the ±45 ms detectability bound), composed accuracy is recognizer-bounded at 65 ms, and live word-start timing (86 ms) transfers from corpus to deployment. Since our one perceptual metric proved invalid here, the quality claim is geometric (LVD), pending a user study. The method ships inside A.T.L.A.S, a complete embodied desktop assistant on Gemini 2.5 Flash Native Audio.</w:t>
      </w:r>
    </w:p>
    <w:p>
      <w:pPr>
        <w:jc w:val="both"/>
      </w:pPr>
      <w:r>
        <w:rPr>
          <w:b/>
          <w:sz w:val="21"/>
        </w:rPr>
        <w:t>INDEX TERMS</w:t>
      </w:r>
      <w:r>
        <w:rPr>
          <w:sz w:val="21"/>
        </w:rPr>
        <w:t xml:space="preserve"> — ARKit blendshapes, embodied conversational agents, grapheme-to-phoneme conversion, large language models, lip synchronization, multimodal interaction, real-time facial animation, speech-to-speech models, viseme synthesis.</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 and disrupts the sub-second turn-taking timing characteristic of natural human conversation [26].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our central </w:t>
      </w:r>
      <w:r>
        <w:rPr>
          <w:i/>
          <w:sz w:val="21"/>
        </w:rPr>
        <w:t>timing</w:t>
      </w:r>
      <w:r>
        <w:rPr>
          <w:sz w:val="21"/>
        </w:rPr>
        <w:t xml:space="preserve"> contribution, with a drift-free, per-word-bounded error property that free-running schedules lack; (iii) 60 fps synthesis of 14 ARKit mouth blendshapes by Gaussian-kernel co-articulation with closure-dominance protection — which our ablation (Section V-C) isolates as the dominant contributor to rendered geometric fidelity, ahead of duration estimation.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an amplitude-only baseline (lower anchor, current industry practice), the rate-scheduled variant deployed in production (RATE), and a non-causal Montreal-Forced-Aligner oracle (upper anchor). On 50 rendered live-system utterances, TSYNC achieves the lowest lip vertex distance (LVD) to the oracle (0.461 vs. 0.520 AMP / 0.556 RATE), driven by kernel co-articulation rather than duration estimation; SyncNet LSE-C/LSE-D do not corroborate this ordering on the stylized avatar render, which we report as a metric-validity finding (Section V).</w:t>
      </w:r>
    </w:p>
    <w:p>
      <w:pPr>
        <w:ind w:left="340"/>
      </w:pPr>
      <w:r>
        <w:rPr>
          <w:sz w:val="21"/>
        </w:rPr>
        <w:t xml:space="preserve">5. </w:t>
      </w:r>
      <w:r>
        <w:rPr>
          <w:b/>
          <w:sz w:val="21"/>
        </w:rPr>
        <w:t>Measured component-wise validation</w:t>
      </w:r>
      <w:r>
        <w:rPr>
          <w:sz w:val="21"/>
        </w:rPr>
        <w:t>: a layer-wise timing validation against MFA forced alignment on 6 000 held-out GRID utterances (Section V-D) — establishing 18 ms isolated Layer-2 accuracy and identifying recognizer word timestamps, not duration estimation, as the composed-accuracy bottleneck; a measured Layer 1-3 latency/CPU budget (Section V-E) revealing a language asymmetry in streaming ASR cost between English and Turkish; and an auxiliary validation of the 14-channel ARKit target representation via learned audio-to-blendshape regression on video-measured ground truth (Section V-F).</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discusses implications, limitations, and future work, and Section VII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and longitudinal studies of relational artifacts highlight both the benefits and complexities of sustained human attachment to embodied agents [35].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 model </w:t>
      </w:r>
      <w:r>
        <w:rPr>
          <w:i/>
          <w:sz w:val="21"/>
        </w:rPr>
        <w:t>is</w:t>
      </w:r>
      <w:r>
        <w:rPr>
          <w:sz w:val="21"/>
        </w:rPr>
        <w:t xml:space="preserve"> the synthesizer — speech is generated inside the LLM with no separate TTS stage that could emit a phoneme schedule or a word/viseme-timing stream alongside the audio, as streaming-TTS avatar pipelines do — and forced aligners that might recover such timing post hoc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it is nonetheless what most deployed real-time avatar SDKs use — mapping the audio's spectral energy directly to mouth opening — and is the class our evaluation represents with the AMP lower anchor.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center"/>
      </w:pPr>
      <w:r>
        <w:drawing>
          <wp:inline xmlns:a="http://schemas.openxmlformats.org/drawingml/2006/main" xmlns:pic="http://schemas.openxmlformats.org/drawingml/2006/picture">
            <wp:extent cx="5486400" cy="360737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607379"/>
                    </a:xfrm>
                    <a:prstGeom prst="rect"/>
                  </pic:spPr>
                </pic:pic>
              </a:graphicData>
            </a:graphic>
          </wp:inline>
        </w:drawing>
      </w:r>
    </w:p>
    <w:p>
      <w:pPr>
        <w:jc w:val="both"/>
      </w:pPr>
      <w:r>
        <w:rPr>
          <w:b/>
          <w:sz w:val="21"/>
        </w:rPr>
        <w:t>FIGURE 1.</w:t>
      </w:r>
      <w:r>
        <w:rPr>
          <w:sz w:val="21"/>
        </w:rPr>
        <w:t xml:space="preserve"> System architecture. The Live API session (Gemini 2.5 Flash Native Audio) receives 16 kHz microphone audio and emits 24 kHz response audio (played back via </w:t>
      </w:r>
      <w:r>
        <w:rPr>
          <w:rFonts w:ascii="Consolas" w:hAnsi="Consolas"/>
          <w:sz w:val="19"/>
        </w:rPr>
        <w:t>sounddevice</w:t>
      </w:r>
      <w:r>
        <w:rPr>
          <w:sz w:val="21"/>
        </w:rPr>
        <w:t>, with an RMS amplitude envelope extracted for the fallback articulation channel) together with function calls and output transcription. Function calls pass through the tool router (negative routing constraints) to the 19 action modules, including the persistent-memory store and the planner-executor agent. Output transcription with word timestamps feeds the viseme worker (TranscriptionSync Layers 1-3), which synthesizes a 14-channel ARKit blendshape stream at 60 fps. The blendshape stream and amplitude envelope are sent over a WebSocket (port 7862) to the browser UI (HTTP port 7861), where Three.js and @pixiv/three-vrm drive 52 ARKit blendshapes, emotion state, and auto-blink on the VRM avatar.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in informal use; a quantitative tool-routing evaluation is left to future work (Section VI-C).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 3.2 s with hop h = 320 ms;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consistent with the layer-wise results of Section V-D. One property of the recognizer </w:t>
      </w:r>
      <w:r>
        <w:rPr>
          <w:i/>
          <w:sz w:val="21"/>
        </w:rPr>
        <w:t>is</w:t>
      </w:r>
      <w:r>
        <w:rPr>
          <w:sz w:val="21"/>
        </w:rPr>
        <w:t xml:space="preserve"> load-bearing: its word timestamps must share the playout clock. Whisper-family models anchor their decoding clock at speech onset, so audio whose window begins with silence yields word timestamps uniformly shifted early by the leading-silence duration (measured at −362 ms on average on GRID-style material, Section V-D) — an offset that would translate directly into audio-visual desynchronization. Layer 1 therefore requires explicit onset handling: either voice-activity gating of the window or energy-based onset detection with clock restoration, so that emitted timestamps are anchored to the stream clock rather than to speech onset.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w:t>
      </w:r>
      <w:r>
        <w:rPr>
          <w:i/>
          <w:sz w:val="21"/>
        </w:rPr>
        <w:t>timing</w:t>
      </w:r>
      <w:r>
        <w:rPr>
          <w:sz w:val="21"/>
        </w:rPr>
        <w:t xml:space="preserve"> contribution of this paper — is </w:t>
      </w:r>
      <w:r>
        <w:rPr>
          <w:b/>
          <w:sz w:val="21"/>
        </w:rPr>
        <w:t>word-bounded phoneme duration estimation</w:t>
      </w:r>
      <w:r>
        <w:rPr>
          <w:sz w:val="21"/>
        </w:rPr>
        <w:t xml:space="preserve">: assigning each phoneme a duration within the known word interval T_i = t_i^e − t_i^s. (As Section V-C shows, this layer is what makes timing </w:t>
      </w:r>
      <w:r>
        <w:rPr>
          <w:i/>
          <w:sz w:val="21"/>
        </w:rPr>
        <w:t>drift-free</w:t>
      </w:r>
      <w:r>
        <w:rPr>
          <w:sz w:val="21"/>
        </w:rPr>
        <w:t>; the kernel co-articulation of Layer 3, not duration estimation, dominates rendered geometric fidelity.)</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with fixed design priors: vowel 1.6, diphthong 2.1, fricative 1.0, affricate 0.9, nasal 0.9, plosive 0.7, liquid 0.8, glide 0.75 — set from phonetic duration norms. These values are design constants, not fitted to any corpus; Section V-D evaluates them as-is against forced alignment on held-out GRID speakers.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resets at every word boundary*. Free-running schedules — including the deployed variant of Section IV-F — accumulate unbounded drift between anchor events; TranscriptionSync structurally cannot. Empirically, mean absolute phoneme-midpoint error against forced alignment is 18 ms given reference word boundaries, rising to 65 ms end-to-end when a compact streaming recognizer supplies the boundaries (Section V-D).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with σ = 30 ms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Layer-2 and Layer-3 costs are negligible: G2P is a dictionary/rule lookup, and frame synthesis is O(M · J_local) arithmetic. Standalone component benchmarking (Section V-E) measures per-frame Layer-3 synthesis time of 0.049 ms (median) / 0.070 ms (P95) — three orders of magnitude below the 50 ms design target — and per-word Layer-2 (G2P + Eqs. (4)–(5) duration estimation) time of 0.005 ms / 0.042 ms, with combined CPU occupancy of 0.29% of one core at 60 fps rendering and 2.5 words/s. The budget is therefore dominated entirely by Layer 1: with a compact (tiny, int8) multilingual Whisper model on a commodity 4-core/8-thread x86_64 CPU (W = 3.2 s, h = 320 ms, g = 400 ms), word emission lag P95 = 214 ms for English, giving Δ ≈ 215 ms by Eq. (3). For Turkish the same model is markedly slower and less stable (P95 = 4.9 s); Section V-E reports this language asymmetry and Section VI-B discusses its implications for Δ sizing and model selection. The added voice-to-voice cost is exactly Δ; Section V-E quantifies the resulting figures.</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We collect N = 50 response utterances from the live system across five task batches (</w:t>
      </w:r>
      <w:r>
        <w:rPr>
          <w:rFonts w:ascii="Consolas" w:hAnsi="Consolas"/>
          <w:sz w:val="19"/>
        </w:rPr>
        <w:t>chat</w:t>
      </w:r>
      <w:r>
        <w:rPr>
          <w:sz w:val="21"/>
        </w:rPr>
        <w:t xml:space="preserve">, </w:t>
      </w:r>
      <w:r>
        <w:rPr>
          <w:rFonts w:ascii="Consolas" w:hAnsi="Consolas"/>
          <w:sz w:val="19"/>
        </w:rPr>
        <w:t>howto</w:t>
      </w:r>
      <w:r>
        <w:rPr>
          <w:sz w:val="21"/>
        </w:rPr>
        <w:t xml:space="preserve">, </w:t>
      </w:r>
      <w:r>
        <w:rPr>
          <w:rFonts w:ascii="Consolas" w:hAnsi="Consolas"/>
          <w:sz w:val="19"/>
        </w:rPr>
        <w:t>qa</w:t>
      </w:r>
      <w:r>
        <w:rPr>
          <w:sz w:val="21"/>
        </w:rPr>
        <w:t xml:space="preserve">, </w:t>
      </w:r>
      <w:r>
        <w:rPr>
          <w:rFonts w:ascii="Consolas" w:hAnsi="Consolas"/>
          <w:sz w:val="19"/>
        </w:rPr>
        <w:t>summary</w:t>
      </w:r>
      <w:r>
        <w:rPr>
          <w:sz w:val="21"/>
        </w:rPr>
        <w:t xml:space="preserve">, </w:t>
      </w:r>
      <w:r>
        <w:rPr>
          <w:rFonts w:ascii="Consolas" w:hAnsi="Consolas"/>
          <w:sz w:val="19"/>
        </w:rPr>
        <w:t>task</w:t>
      </w:r>
      <w:r>
        <w:rPr>
          <w:sz w:val="21"/>
        </w:rPr>
        <w:t xml:space="preserve">; ten utterances each) and English, recording the 24 kHz audio and rendering the avatar offline under each condition at 1080p/60 fps with frame-accurate audio muxing; the six conditions × 50 utterances give the 300 videos scored below, downsampled to 640×480/25 fps — SyncNet's native input format — for LSE-D/LSE-C scoring. Figure 2 shows one held-out utterance rendered under the four anchor conditions at a single articulation instant: the avatar is an </w:t>
      </w:r>
      <w:r>
        <w:rPr>
          <w:i/>
          <w:sz w:val="21"/>
        </w:rPr>
        <w:t>untextured</w:t>
      </w:r>
      <w:r>
        <w:rPr>
          <w:sz w:val="21"/>
        </w:rPr>
        <w:t xml:space="preserve"> VRM mesh — uniform matte shading, with no skin texture, lip colour, teeth detail, or eye texture — which makes concrete the stylization gap from the natural-face video on which SyncNet was trained, and anticipates the LSE-D/LSE-C behaviour reported in Section V-C.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normalized model units (by construction MFA serves as the reference and reports no LVD); </w:t>
      </w:r>
      <w:r>
        <w:rPr>
          <w:b/>
          <w:sz w:val="21"/>
        </w:rPr>
        <w:t>phoneme timing error</w:t>
      </w:r>
      <w:r>
        <w:rPr>
          <w:sz w:val="21"/>
        </w:rPr>
        <w:t xml:space="preserve"> (mean absolute word-start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SyncNet is trained on natural human-face video; its applicability to this stylized, untextured VRM render is examined post hoc by a data-driven validity check (Section V-C), which finds LSE-D/LSE-C invalid as quality measures on this avatar and motivates relying on LVD instead (revisited in Section VI-B). </w:t>
      </w:r>
      <w:r>
        <w:rPr>
          <w:b/>
          <w:sz w:val="21"/>
        </w:rPr>
        <w:t>Statistical analysis.</w:t>
      </w:r>
      <w:r>
        <w:rPr>
          <w:sz w:val="21"/>
        </w:rPr>
        <w:t xml:space="preserve"> Pairwise condition contrasts on LVD and lag are tested with two-sided Wilcoxon signed-rank tests paired by utterance (n = 50), Holm-corrected across the family of contrasts against TSYNC; we report rank-biserial effect sizes r and percentile-bootstrap 95% confidence intervals (10 000 resamples) on paired mean differences. LSE-D/LSE-C contrasts are paired over the utterances on which both conditions yielded a SyncNet score (n = 45).</w:t>
      </w:r>
    </w:p>
    <w:p>
      <w:pPr>
        <w:jc w:val="center"/>
      </w:pPr>
      <w:r>
        <w:drawing>
          <wp:inline xmlns:a="http://schemas.openxmlformats.org/drawingml/2006/main" xmlns:pic="http://schemas.openxmlformats.org/drawingml/2006/picture">
            <wp:extent cx="5486400" cy="1696852"/>
            <wp:docPr id="2" name="Picture 2"/>
            <wp:cNvGraphicFramePr>
              <a:graphicFrameLocks noChangeAspect="1"/>
            </wp:cNvGraphicFramePr>
            <a:graphic>
              <a:graphicData uri="http://schemas.openxmlformats.org/drawingml/2006/picture">
                <pic:pic>
                  <pic:nvPicPr>
                    <pic:cNvPr id="0" name="fig_avatar_conditions.png"/>
                    <pic:cNvPicPr/>
                  </pic:nvPicPr>
                  <pic:blipFill>
                    <a:blip r:embed="rId10"/>
                    <a:stretch>
                      <a:fillRect/>
                    </a:stretch>
                  </pic:blipFill>
                  <pic:spPr>
                    <a:xfrm>
                      <a:off x="0" y="0"/>
                      <a:ext cx="5486400" cy="1696852"/>
                    </a:xfrm>
                    <a:prstGeom prst="rect"/>
                  </pic:spPr>
                </pic:pic>
              </a:graphicData>
            </a:graphic>
          </wp:inline>
        </w:drawing>
      </w:r>
    </w:p>
    <w:p>
      <w:pPr>
        <w:jc w:val="both"/>
      </w:pPr>
      <w:r>
        <w:rPr>
          <w:b/>
          <w:sz w:val="21"/>
        </w:rPr>
        <w:t>FIGURE 2.</w:t>
      </w:r>
      <w:r>
        <w:rPr>
          <w:sz w:val="21"/>
        </w:rPr>
        <w:t xml:space="preserve"> The rendered VRM avatar used for the objective evaluation, shown for one held-out utterance (</w:t>
      </w:r>
      <w:r>
        <w:rPr>
          <w:rFonts w:ascii="Consolas" w:hAnsi="Consolas"/>
          <w:sz w:val="19"/>
        </w:rPr>
        <w:t>chat00</w:t>
      </w:r>
      <w:r>
        <w:rPr>
          <w:sz w:val="21"/>
        </w:rPr>
        <w:t>) at a single articulation instant (t = 1.40 s) under the four anchor conditions (AMP, RATE, TSYNC, MFA). All 300 scored videos drive this same untextured humanoid mesh with identical audio; only the mouth-region blendshape trajectory differs between conditions. The matte, texture-free surface — no skin detail, lip colour, or eye texture — is the stylization that SyncNet, trained on natural human-face video [40], was not designed for, and is the basis for the data-driven check (Section V-C) that finds its LSE-D/LSE-C scores invalid as quality measures on this avatar.</w:t>
      </w:r>
    </w:p>
    <w:p>
      <w:pPr>
        <w:spacing w:before="200"/>
      </w:pPr>
      <w:r>
        <w:rPr>
          <w:b/>
          <w:color w:val="2E74B5"/>
          <w:sz w:val="22"/>
        </w:rPr>
        <w:t>C. Synchronization Results</w:t>
      </w:r>
    </w:p>
    <w:p>
      <w:pPr>
        <w:jc w:val="both"/>
      </w:pPr>
      <w:r>
        <w:rPr>
          <w:b/>
          <w:sz w:val="21"/>
        </w:rPr>
        <w:t>TABLE 4.</w:t>
      </w:r>
      <w:r>
        <w:rPr>
          <w:sz w:val="21"/>
        </w:rPr>
        <w:t xml:space="preserve"> Objective synchronization by condition; mean (SD) over N = 50 rendered utterances (six conditions × 50 = 300 videos). SyncNet face detection succeeded on 45–46/50 renders per condition (remainder returned no score and are excluded from LSE-D/LSE-C); LVD and lag are computed on all 50/50. Timing err. is the word-start MAE against MFA over content-matched tokens (same convention as Section V-D; recognizer insertions/deletions are discarded, not paired by position). Mean (SD) are reported here; per-contrast significance, effect sizes, and bootstrap 95% CIs are given in the running text.</w:t>
      </w:r>
    </w:p>
    <w:tbl>
      <w:tblPr>
        <w:tblStyle w:val="TableGrid"/>
        <w:jc w:val="center"/>
        <w:tblLook w:firstColumn="1" w:firstRow="1" w:lastColumn="0" w:lastRow="0" w:noHBand="0" w:noVBand="1" w:val="04A0"/>
        <w:tblW w:type="pct" w:w="5000"/>
        <w:tblLayout w:type="autofit"/>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sz w:val="19"/>
              </w:rPr>
              <w:t>LSE-D ↓</w:t>
            </w:r>
          </w:p>
        </w:tc>
        <w:tc>
          <w:tcPr>
            <w:tcW w:type="dxa" w:w="1624"/>
            <w:shd w:val="clear" w:fill="BDD7EE"/>
          </w:tcPr>
          <w:p>
            <w:r>
              <w:rPr>
                <w:b/>
                <w:sz w:val="19"/>
              </w:rPr>
              <w:t>LSE-C ↑</w:t>
            </w:r>
          </w:p>
        </w:tc>
        <w:tc>
          <w:tcPr>
            <w:tcW w:type="dxa" w:w="1624"/>
            <w:shd w:val="clear" w:fill="BDD7EE"/>
          </w:tcPr>
          <w:p>
            <w:r>
              <w:rPr>
                <w:b/>
                <w:sz w:val="19"/>
              </w:rPr>
              <w:t>LVD ↓</w:t>
            </w:r>
          </w:p>
        </w:tc>
        <w:tc>
          <w:tcPr>
            <w:tcW w:type="dxa" w:w="1624"/>
            <w:shd w:val="clear" w:fill="BDD7EE"/>
          </w:tcPr>
          <w:p>
            <w:r>
              <w:rPr>
                <w:b/>
                <w:sz w:val="19"/>
              </w:rPr>
              <w:t>Timing err. (ms)</w:t>
            </w:r>
          </w:p>
        </w:tc>
        <w:tc>
          <w:tcPr>
            <w:tcW w:type="dxa" w:w="1624"/>
            <w:shd w:val="clear" w:fill="BDD7EE"/>
          </w:tcPr>
          <w:p>
            <w:r>
              <w:rPr>
                <w:b/>
                <w:sz w:val="19"/>
              </w:rPr>
              <w:t>Lag (ms)</w:t>
            </w:r>
          </w:p>
        </w:tc>
      </w:tr>
      <w:tr>
        <w:tc>
          <w:tcPr>
            <w:tcW w:type="dxa" w:w="1624"/>
          </w:tcPr>
          <w:p>
            <w:r>
              <w:rPr>
                <w:sz w:val="19"/>
              </w:rPr>
              <w:t>AMP (lower)</w:t>
            </w:r>
          </w:p>
        </w:tc>
        <w:tc>
          <w:tcPr>
            <w:tcW w:type="dxa" w:w="1624"/>
          </w:tcPr>
          <w:p>
            <w:r>
              <w:rPr>
                <w:sz w:val="19"/>
              </w:rPr>
              <w:t>11.66 (0.39)</w:t>
            </w:r>
          </w:p>
        </w:tc>
        <w:tc>
          <w:tcPr>
            <w:tcW w:type="dxa" w:w="1624"/>
          </w:tcPr>
          <w:p>
            <w:r>
              <w:rPr>
                <w:sz w:val="19"/>
              </w:rPr>
              <w:t>2.88 (0.35)</w:t>
            </w:r>
          </w:p>
        </w:tc>
        <w:tc>
          <w:tcPr>
            <w:tcW w:type="dxa" w:w="1624"/>
          </w:tcPr>
          <w:p>
            <w:r>
              <w:rPr>
                <w:sz w:val="19"/>
              </w:rPr>
              <w:t>0.520 (0.029)</w:t>
            </w:r>
          </w:p>
        </w:tc>
        <w:tc>
          <w:tcPr>
            <w:tcW w:type="dxa" w:w="1624"/>
          </w:tcPr>
          <w:p>
            <w:r>
              <w:rPr>
                <w:sz w:val="19"/>
              </w:rPr>
              <w:t>—</w:t>
            </w:r>
          </w:p>
        </w:tc>
        <w:tc>
          <w:tcPr>
            <w:tcW w:type="dxa" w:w="1624"/>
          </w:tcPr>
          <w:p>
            <w:r>
              <w:rPr>
                <w:sz w:val="19"/>
              </w:rPr>
              <w:t>0.0 (0.0)</w:t>
            </w:r>
          </w:p>
        </w:tc>
      </w:tr>
      <w:tr>
        <w:tc>
          <w:tcPr>
            <w:tcW w:type="dxa" w:w="1624"/>
          </w:tcPr>
          <w:p>
            <w:r>
              <w:rPr>
                <w:sz w:val="19"/>
              </w:rPr>
              <w:t>RATE (deployed)</w:t>
            </w:r>
          </w:p>
        </w:tc>
        <w:tc>
          <w:tcPr>
            <w:tcW w:type="dxa" w:w="1624"/>
          </w:tcPr>
          <w:p>
            <w:r>
              <w:rPr>
                <w:sz w:val="19"/>
              </w:rPr>
              <w:t>13.49 (0.41)</w:t>
            </w:r>
          </w:p>
        </w:tc>
        <w:tc>
          <w:tcPr>
            <w:tcW w:type="dxa" w:w="1624"/>
          </w:tcPr>
          <w:p>
            <w:r>
              <w:rPr>
                <w:sz w:val="19"/>
              </w:rPr>
              <w:t>0.79 (0.32)</w:t>
            </w:r>
          </w:p>
        </w:tc>
        <w:tc>
          <w:tcPr>
            <w:tcW w:type="dxa" w:w="1624"/>
          </w:tcPr>
          <w:p>
            <w:r>
              <w:rPr>
                <w:sz w:val="19"/>
              </w:rPr>
              <w:t>0.556 (0.030)</w:t>
            </w:r>
          </w:p>
        </w:tc>
        <w:tc>
          <w:tcPr>
            <w:tcW w:type="dxa" w:w="1624"/>
          </w:tcPr>
          <w:p>
            <w:r>
              <w:rPr>
                <w:sz w:val="19"/>
              </w:rPr>
              <w:t>—</w:t>
            </w:r>
          </w:p>
        </w:tc>
        <w:tc>
          <w:tcPr>
            <w:tcW w:type="dxa" w:w="1624"/>
          </w:tcPr>
          <w:p>
            <w:r>
              <w:rPr>
                <w:sz w:val="19"/>
              </w:rPr>
              <w:t>91.0 (31.1)</w:t>
            </w:r>
          </w:p>
        </w:tc>
      </w:tr>
      <w:tr>
        <w:tc>
          <w:tcPr>
            <w:tcW w:type="dxa" w:w="1624"/>
          </w:tcPr>
          <w:p>
            <w:r>
              <w:rPr>
                <w:sz w:val="19"/>
              </w:rPr>
              <w:t>TSYNC−dur</w:t>
            </w:r>
          </w:p>
        </w:tc>
        <w:tc>
          <w:tcPr>
            <w:tcW w:type="dxa" w:w="1624"/>
          </w:tcPr>
          <w:p>
            <w:r>
              <w:rPr>
                <w:sz w:val="19"/>
              </w:rPr>
              <w:t>13.14 (0.39)</w:t>
            </w:r>
          </w:p>
        </w:tc>
        <w:tc>
          <w:tcPr>
            <w:tcW w:type="dxa" w:w="1624"/>
          </w:tcPr>
          <w:p>
            <w:r>
              <w:rPr>
                <w:sz w:val="19"/>
              </w:rPr>
              <w:t>1.39 (0.32)</w:t>
            </w:r>
          </w:p>
        </w:tc>
        <w:tc>
          <w:tcPr>
            <w:tcW w:type="dxa" w:w="1624"/>
          </w:tcPr>
          <w:p>
            <w:r>
              <w:rPr>
                <w:sz w:val="19"/>
              </w:rPr>
              <w:t>0.461 (0.062)</w:t>
            </w:r>
          </w:p>
        </w:tc>
        <w:tc>
          <w:tcPr>
            <w:tcW w:type="dxa" w:w="1624"/>
          </w:tcPr>
          <w:p>
            <w:r>
              <w:rPr>
                <w:sz w:val="19"/>
              </w:rPr>
              <w:t>86 (18)</w:t>
            </w:r>
          </w:p>
        </w:tc>
        <w:tc>
          <w:tcPr>
            <w:tcW w:type="dxa" w:w="1624"/>
          </w:tcPr>
          <w:p>
            <w:r>
              <w:rPr>
                <w:sz w:val="19"/>
              </w:rPr>
              <w:t>−42.7 (84.4)</w:t>
            </w:r>
          </w:p>
        </w:tc>
      </w:tr>
      <w:tr>
        <w:tc>
          <w:tcPr>
            <w:tcW w:type="dxa" w:w="1624"/>
          </w:tcPr>
          <w:p>
            <w:r>
              <w:rPr>
                <w:sz w:val="19"/>
              </w:rPr>
              <w:t>TSYNC−coart</w:t>
            </w:r>
          </w:p>
        </w:tc>
        <w:tc>
          <w:tcPr>
            <w:tcW w:type="dxa" w:w="1624"/>
          </w:tcPr>
          <w:p>
            <w:r>
              <w:rPr>
                <w:sz w:val="19"/>
              </w:rPr>
              <w:t>13.29 (0.37)</w:t>
            </w:r>
          </w:p>
        </w:tc>
        <w:tc>
          <w:tcPr>
            <w:tcW w:type="dxa" w:w="1624"/>
          </w:tcPr>
          <w:p>
            <w:r>
              <w:rPr>
                <w:sz w:val="19"/>
              </w:rPr>
              <w:t>0.85 (0.24)</w:t>
            </w:r>
          </w:p>
        </w:tc>
        <w:tc>
          <w:tcPr>
            <w:tcW w:type="dxa" w:w="1624"/>
          </w:tcPr>
          <w:p>
            <w:r>
              <w:rPr>
                <w:sz w:val="19"/>
              </w:rPr>
              <w:t>0.645 (0.046)</w:t>
            </w:r>
          </w:p>
        </w:tc>
        <w:tc>
          <w:tcPr>
            <w:tcW w:type="dxa" w:w="1624"/>
          </w:tcPr>
          <w:p>
            <w:r>
              <w:rPr>
                <w:sz w:val="19"/>
              </w:rPr>
              <w:t>86 (18)</w:t>
            </w:r>
          </w:p>
        </w:tc>
        <w:tc>
          <w:tcPr>
            <w:tcW w:type="dxa" w:w="1624"/>
          </w:tcPr>
          <w:p>
            <w:r>
              <w:rPr>
                <w:sz w:val="19"/>
              </w:rPr>
              <w:t>−109.3 (30.4)</w:t>
            </w:r>
          </w:p>
        </w:tc>
      </w:tr>
      <w:tr>
        <w:tc>
          <w:tcPr>
            <w:tcW w:type="dxa" w:w="1624"/>
          </w:tcPr>
          <w:p>
            <w:r>
              <w:rPr>
                <w:b/>
                <w:sz w:val="19"/>
              </w:rPr>
              <w:t>TSYNC (ours)</w:t>
            </w:r>
          </w:p>
        </w:tc>
        <w:tc>
          <w:tcPr>
            <w:tcW w:type="dxa" w:w="1624"/>
          </w:tcPr>
          <w:p>
            <w:r>
              <w:rPr>
                <w:sz w:val="19"/>
              </w:rPr>
              <w:t>13.15 (0.36)</w:t>
            </w:r>
          </w:p>
        </w:tc>
        <w:tc>
          <w:tcPr>
            <w:tcW w:type="dxa" w:w="1624"/>
          </w:tcPr>
          <w:p>
            <w:r>
              <w:rPr>
                <w:sz w:val="19"/>
              </w:rPr>
              <w:t>1.36 (0.29)</w:t>
            </w:r>
          </w:p>
        </w:tc>
        <w:tc>
          <w:tcPr>
            <w:tcW w:type="dxa" w:w="1624"/>
          </w:tcPr>
          <w:p>
            <w:r>
              <w:rPr>
                <w:b/>
                <w:sz w:val="19"/>
              </w:rPr>
              <w:t>0.461 (0.065)</w:t>
            </w:r>
          </w:p>
        </w:tc>
        <w:tc>
          <w:tcPr>
            <w:tcW w:type="dxa" w:w="1624"/>
          </w:tcPr>
          <w:p>
            <w:r>
              <w:rPr>
                <w:sz w:val="19"/>
              </w:rPr>
              <w:t>86 (18)</w:t>
            </w:r>
          </w:p>
        </w:tc>
        <w:tc>
          <w:tcPr>
            <w:tcW w:type="dxa" w:w="1624"/>
          </w:tcPr>
          <w:p>
            <w:r>
              <w:rPr>
                <w:sz w:val="19"/>
              </w:rPr>
              <w:t>−52.7 (31.0)</w:t>
            </w:r>
          </w:p>
        </w:tc>
      </w:tr>
      <w:tr>
        <w:tc>
          <w:tcPr>
            <w:tcW w:type="dxa" w:w="1624"/>
          </w:tcPr>
          <w:p>
            <w:r>
              <w:rPr>
                <w:sz w:val="19"/>
              </w:rPr>
              <w:t>MFA (oracle)</w:t>
            </w:r>
          </w:p>
        </w:tc>
        <w:tc>
          <w:tcPr>
            <w:tcW w:type="dxa" w:w="1624"/>
          </w:tcPr>
          <w:p>
            <w:r>
              <w:rPr>
                <w:sz w:val="19"/>
              </w:rPr>
              <w:t>11.70 (0.54)</w:t>
            </w:r>
          </w:p>
        </w:tc>
        <w:tc>
          <w:tcPr>
            <w:tcW w:type="dxa" w:w="1624"/>
          </w:tcPr>
          <w:p>
            <w:r>
              <w:rPr>
                <w:sz w:val="19"/>
              </w:rPr>
              <w:t>2.90 (0.56)</w:t>
            </w:r>
          </w:p>
        </w:tc>
        <w:tc>
          <w:tcPr>
            <w:tcW w:type="dxa" w:w="1624"/>
          </w:tcPr>
          <w:p>
            <w:r>
              <w:rPr>
                <w:sz w:val="19"/>
              </w:rPr>
              <w:t>— (reference)</w:t>
            </w:r>
          </w:p>
        </w:tc>
        <w:tc>
          <w:tcPr>
            <w:tcW w:type="dxa" w:w="1624"/>
          </w:tcPr>
          <w:p>
            <w:r>
              <w:rPr>
                <w:sz w:val="19"/>
              </w:rPr>
              <w:t>0</w:t>
            </w:r>
          </w:p>
        </w:tc>
        <w:tc>
          <w:tcPr>
            <w:tcW w:type="dxa" w:w="1624"/>
          </w:tcPr>
          <w:p>
            <w:r>
              <w:rPr>
                <w:sz w:val="19"/>
              </w:rPr>
              <w:t>15.7 (27.2)</w:t>
            </w:r>
          </w:p>
        </w:tc>
      </w:tr>
    </w:tbl>
    <w:p/>
    <w:p>
      <w:pPr>
        <w:jc w:val="center"/>
      </w:pPr>
      <w:r>
        <w:drawing>
          <wp:inline xmlns:a="http://schemas.openxmlformats.org/drawingml/2006/main" xmlns:pic="http://schemas.openxmlformats.org/drawingml/2006/picture">
            <wp:extent cx="5486400" cy="2080517"/>
            <wp:docPr id="3" name="Picture 3"/>
            <wp:cNvGraphicFramePr>
              <a:graphicFrameLocks noChangeAspect="1"/>
            </wp:cNvGraphicFramePr>
            <a:graphic>
              <a:graphicData uri="http://schemas.openxmlformats.org/drawingml/2006/picture">
                <pic:pic>
                  <pic:nvPicPr>
                    <pic:cNvPr id="0" name="fig2_synchronization.png"/>
                    <pic:cNvPicPr/>
                  </pic:nvPicPr>
                  <pic:blipFill>
                    <a:blip r:embed="rId11"/>
                    <a:stretch>
                      <a:fillRect/>
                    </a:stretch>
                  </pic:blipFill>
                  <pic:spPr>
                    <a:xfrm>
                      <a:off x="0" y="0"/>
                      <a:ext cx="5486400" cy="2080517"/>
                    </a:xfrm>
                    <a:prstGeom prst="rect"/>
                  </pic:spPr>
                </pic:pic>
              </a:graphicData>
            </a:graphic>
          </wp:inline>
        </w:drawing>
      </w:r>
    </w:p>
    <w:p>
      <w:pPr>
        <w:jc w:val="both"/>
      </w:pPr>
      <w:r>
        <w:rPr>
          <w:b/>
          <w:sz w:val="21"/>
        </w:rPr>
        <w:t>FIGURE 3.</w:t>
      </w:r>
      <w:r>
        <w:rPr>
          <w:sz w:val="21"/>
        </w:rPr>
        <w:t xml:space="preserve"> Objective synchronization by condition (Table 4). (a) Lip vertex distance (LVD, lower is better): TSYNC and TSYNC−dur achieve the lowest LVD, closest to the MFA oracle, while removing kernel co-articulation (TSYNC−coart) is the worst condition. (b) SyncNet confidence (LSE-C, higher is better): AMP and MFA score highest and near-identically, while RATE, TSYNC, TSYNC−dur, and TSYNC−coart cluster together at lower values — SyncNet does not corroborate the LVD ordering (Section V-C).</w:t>
      </w:r>
    </w:p>
    <w:p>
      <w:pPr>
        <w:jc w:val="both"/>
      </w:pPr>
      <w:r>
        <w:rPr>
          <w:sz w:val="21"/>
        </w:rPr>
        <w:t>The real measurements yield a more nuanced picture than the design hypothesis, and we report it in full.</w:t>
      </w:r>
    </w:p>
    <w:p>
      <w:pPr>
        <w:jc w:val="both"/>
      </w:pPr>
      <w:r>
        <w:rPr>
          <w:b/>
          <w:sz w:val="21"/>
        </w:rPr>
        <w:t>LVD supports the design hypothesis, and isolates co-articulation as its source.</w:t>
      </w:r>
      <w:r>
        <w:rPr>
          <w:sz w:val="21"/>
        </w:rPr>
        <w:t xml:space="preserve"> TSYNC and TSYNC−dur both achieve the lowest LVD (0.461; 95% CI [0.443, 0.479]) — geometrically closer to the MFA-oracle mouth trajectory than AMP (0.520) or RATE (0.556). Both contrasts are significant with large effect sizes (TSYNC vs AMP: paired Δ = −0.059, 95% CI [−0.078, −0.041], Holm-corrected p &lt; 10⁻⁶, rank-biserial r = 0.79; TSYNC vs RATE: Δ = −0.095 [−0.114, −0.075], p &lt; 10⁻¹¹, r = 0.95). TSYNC−coart is the </w:t>
      </w:r>
      <w:r>
        <w:rPr>
          <w:i/>
          <w:sz w:val="21"/>
        </w:rPr>
        <w:t>worst</w:t>
      </w:r>
      <w:r>
        <w:rPr>
          <w:sz w:val="21"/>
        </w:rPr>
        <w:t xml:space="preserve"> condition (0.645), substantially above even AMP. Because TSYNC and TSYNC−dur are statistically indistinguishable on LVD (Δ = 0.000, 95% CI [−0.005, +0.005], p = 0.97, r = 0.01), </w:t>
      </w:r>
      <w:r>
        <w:rPr>
          <w:b/>
          <w:sz w:val="21"/>
        </w:rPr>
        <w:t>the class-prior duration allocation of Eq. (4) contributes negligibly to geometric fidelity on this dataset</w:t>
      </w:r>
      <w:r>
        <w:rPr>
          <w:sz w:val="21"/>
        </w:rPr>
        <w:t xml:space="preserve">, whereas </w:t>
      </w:r>
      <w:r>
        <w:rPr>
          <w:b/>
          <w:sz w:val="21"/>
        </w:rPr>
        <w:t>kernel co-articulation (Eq. (6)) is the dominant LVD mechanism</w:t>
      </w:r>
      <w:r>
        <w:rPr>
          <w:sz w:val="21"/>
        </w:rPr>
        <w:t>: removing it (TSYNC−coart, nearest-phoneme step targets) degrades LVD by 40% relative to TSYNC (Δ = +0.184 [+0.167, +0.200], p &lt; 10⁻¹⁴, r = 1.00, paired dz = 3.1) — the largest effect among all contrasts. This is the inverse of the ablation story anticipated from the GRID timing results (Section V-D), where duration estimation was the focus — on full-system rendered geometry, smooth co-articulated blending toward the oracle trajectory matters more than which phoneme receives which fraction of the word interval.</w:t>
      </w:r>
    </w:p>
    <w:p>
      <w:pPr>
        <w:jc w:val="both"/>
      </w:pPr>
      <w:r>
        <w:rPr>
          <w:b/>
          <w:sz w:val="21"/>
        </w:rPr>
        <w:t>Lag confirms TSYNC leads RATE and TSYNC−coart, but trails the oracle.</w:t>
      </w:r>
      <w:r>
        <w:rPr>
          <w:sz w:val="21"/>
        </w:rPr>
        <w:t xml:space="preserve"> AMP has lag 0 by construction (its JawOpen channel </w:t>
      </w:r>
      <w:r>
        <w:rPr>
          <w:i/>
          <w:sz w:val="21"/>
        </w:rPr>
        <w:t>is</w:t>
      </w:r>
      <w:r>
        <w:rPr>
          <w:sz w:val="21"/>
        </w:rPr>
        <w:t xml:space="preserve"> the audio envelope). MFA is nearly perfectly aligned (15.7 ms). TSYNC (−52.7 ms) and TSYNC−dur (−42.7 ms) lead the audio by roughly 40–55 ms — smaller in magnitude than RATE's +91.0 ms lag and TSYNC−coart's −109.3 ms. TSYNC's absolute lag is significantly smaller than both RATE's (paired Δ|lag| = −38 ms, 95% CI [−48, −29], p &lt; 10⁻⁷, r = 0.94) and TSYNC−coart's (Δ|lag| = −57 ms [−62, −50], p &lt; 10⁻⁹) — consistent with Layer 1's ASR-derived word timestamps introducing a small, systematic temporal lead relative to true articulation onset.</w:t>
      </w:r>
    </w:p>
    <w:p>
      <w:pPr>
        <w:jc w:val="both"/>
      </w:pPr>
      <w:r>
        <w:rPr>
          <w:b/>
          <w:sz w:val="21"/>
        </w:rPr>
        <w:t>SyncNet LSE-D/LSE-C do not corroborate the LVD result, and we report this as a negative finding rather than omit it.</w:t>
      </w:r>
      <w:r>
        <w:rPr>
          <w:sz w:val="21"/>
        </w:rPr>
        <w:t xml:space="preserve"> AMP and MFA score nearly identically and both </w:t>
      </w:r>
      <w:r>
        <w:rPr>
          <w:i/>
          <w:sz w:val="21"/>
        </w:rPr>
        <w:t>best</w:t>
      </w:r>
      <w:r>
        <w:rPr>
          <w:sz w:val="21"/>
        </w:rPr>
        <w:t xml:space="preserve"> (LSE-D ≈ 11.7, LSE-C ≈ 2.9), while RATE, TSYNC, TSYNC−dur, and TSYNC−coart all score </w:t>
      </w:r>
      <w:r>
        <w:rPr>
          <w:i/>
          <w:sz w:val="21"/>
        </w:rPr>
        <w:t>worse</w:t>
      </w:r>
      <w:r>
        <w:rPr>
          <w:sz w:val="21"/>
        </w:rPr>
        <w:t xml:space="preserve"> (LSE-D ≈ 13.1–13.5, LSE-C ≈ 0.8–1.4). Both AMP and MFA are significantly better than TSYNC on LSE-D (paired p &lt; 10⁻⁸ and p &lt; 10⁻¹³, respectively); within the worse-scoring group, TSYNC's LSE-D is in fact marginally but significantly </w:t>
      </w:r>
      <w:r>
        <w:rPr>
          <w:i/>
          <w:sz w:val="21"/>
        </w:rPr>
        <w:t>below</w:t>
      </w:r>
      <w:r>
        <w:rPr>
          <w:sz w:val="21"/>
        </w:rPr>
        <w:t xml:space="preserve"> RATE's (13.15 vs 13.49, p &lt; 10⁻⁴), but this 0.34-unit gap is dwarfed by the ≈1.4-unit deficit of both relative to the AMP/MFA pair — so SyncNet places TSYNC alongside the deployed baseline, far from the oracle, rather than between AMP and MFA where LVD places it. Section V-B flagged that SyncNet — trained on natural human-face video — might not transfer cleanly to a stylized, untextured VRM render (Figure 2). Rather than leave this as a caveat, we convert it into a </w:t>
      </w:r>
      <w:r>
        <w:rPr>
          <w:b/>
          <w:sz w:val="21"/>
        </w:rPr>
        <w:t>data-driven validity check</w:t>
      </w:r>
      <w:r>
        <w:rPr>
          <w:sz w:val="21"/>
        </w:rPr>
        <w:t xml:space="preserve"> on the conditions already rendered, and three results show that LSE-D/LSE-C do not measure lip-sync </w:t>
      </w:r>
      <w:r>
        <w:rPr>
          <w:i/>
          <w:sz w:val="21"/>
        </w:rPr>
        <w:t>quality</w:t>
      </w:r>
      <w:r>
        <w:rPr>
          <w:sz w:val="21"/>
        </w:rPr>
        <w:t xml:space="preserve"> on this avatar. First, </w:t>
      </w:r>
      <w:r>
        <w:rPr>
          <w:b/>
          <w:sz w:val="21"/>
        </w:rPr>
        <w:t>SyncNet cannot separate articulatorily empty motion from the oracle</w:t>
      </w:r>
      <w:r>
        <w:rPr>
          <w:sz w:val="21"/>
        </w:rPr>
        <w:t xml:space="preserve">: AMP — whose JawOpen channel </w:t>
      </w:r>
      <w:r>
        <w:rPr>
          <w:i/>
          <w:sz w:val="21"/>
        </w:rPr>
        <w:t>is</w:t>
      </w:r>
      <w:r>
        <w:rPr>
          <w:sz w:val="21"/>
        </w:rPr>
        <w:t xml:space="preserve"> the audio envelope, with no lip closure, rounding, or spreading — is statistically indistinguishable from the MFA forced-alignment oracle on both LSE-C (2.88 vs 2.90; paired Δ 95% CI [−0.17, +0.12], p = 0.80) and LSE-D (11.66 vs 11.70; [−0.19, +0.11], p = 0.67), yet is rated significantly </w:t>
      </w:r>
      <w:r>
        <w:rPr>
          <w:i/>
          <w:sz w:val="21"/>
        </w:rPr>
        <w:t>higher</w:t>
      </w:r>
      <w:r>
        <w:rPr>
          <w:sz w:val="21"/>
        </w:rPr>
        <w:t xml:space="preserve"> than both the deployed RATE baseline and TSYNC (LSE-C, paired p &lt; 10⁻⁸ and p &lt; 10⁻¹³ respectively); a metric that places phonetically empty jaw-flapping at the top of the field is not scoring articulatory fidelity. Second, </w:t>
      </w:r>
      <w:r>
        <w:rPr>
          <w:b/>
          <w:sz w:val="21"/>
        </w:rPr>
        <w:t>its offset estimate is biased on this representation</w:t>
      </w:r>
      <w:r>
        <w:rPr>
          <w:sz w:val="21"/>
        </w:rPr>
        <w:t xml:space="preserve">: AMP is synchronous by construction (true offset 0), yet SyncNet's estimated audio-visual offset is +73 ms (95% CI [+69, +77], p = 2×10⁻¹⁰), with the same ≈ +70 ms bias on MFA (p = 3×10⁻⁸) — roughly two video frames of systematic error even when synchronization is exact. Third, the offset estimate retains only </w:t>
      </w:r>
      <w:r>
        <w:rPr>
          <w:i/>
          <w:sz w:val="21"/>
        </w:rPr>
        <w:t>partial</w:t>
      </w:r>
      <w:r>
        <w:rPr>
          <w:sz w:val="21"/>
        </w:rPr>
        <w:t xml:space="preserve"> sensitivity to genuine desynchronization, tracking the independently measured mouth–audio lag at Spearman ρ = 0.69 but Pearson r = 0.40 (n = 274 condition-utterances): monotonic but biased and noisy, not the tight agreement a valid metric would show. The likely mechanism is that SyncNet's score responds primarily to a single dominant, audio-correlated jaw-opening signal — which AMP (by definition) and MFA (whose JawOpen tracks true vowel aperture) both provide directly — while TSYNC, TSYNC−dur, TSYNC−coart, and RATE distribute activation across additional channels (lip rounding, spreading, bilabial closure) that a metric tuned to overall mouth-opening correlation on real human lips reads as decorrelation rather than articulatory detail. We therefore treat LSE-D/LSE-C as </w:t>
      </w:r>
      <w:r>
        <w:rPr>
          <w:b/>
          <w:sz w:val="21"/>
        </w:rPr>
        <w:t>invalid as quality measures for this untextured-avatar representation</w:t>
      </w:r>
      <w:r>
        <w:rPr>
          <w:sz w:val="21"/>
        </w:rPr>
        <w:t xml:space="preserve"> — not as evidence against TSYNC — and rely on LVD against the MFA-oracle mesh, which has no such failure mode; a purpose-built or fine-tuned synchronization metric for parameterized avatars remains an open need (Section VI-B).</w:t>
      </w:r>
    </w:p>
    <w:p>
      <w:pPr>
        <w:jc w:val="both"/>
      </w:pPr>
      <w:r>
        <w:rPr>
          <w:b/>
          <w:sz w:val="21"/>
        </w:rPr>
        <w:t>Live timing accuracy transfers from GRID.</w:t>
      </w:r>
      <w:r>
        <w:rPr>
          <w:sz w:val="21"/>
        </w:rPr>
        <w:t xml:space="preserve"> Measuring word-start error against the MFA reference on content-matched tokens — the protocol of Section V-D, which compares each recognized word to its aligned counterpart and discards recognizer insertions/deletions rather than pairing words by position — the live word-start MAE is 86 ms (SD 18; median 89 ms; mean token-match rate 85% against MFA), of the same order as the 65 ms composed accuracy measured on GRID (Section V-D). The controlled-corpus timing result therefore transfers to conversational live speech. The error decomposes into a per-utterance constant offset (median −65 ms — the speech-onset/leading-silence effect of Section IV-B, which the playout-buffer co-presentation (Eq. (3)) absorbs because audio and visemes carry it together) plus a 64 ms within-utterance residual; the constant component is the larger of the two but is the one the buffer cancels, so it does not contribute to perceived desynchronization, whereas the 64 ms residual is the component that actually reaches the viewer; both are consistent with the small rendered audio–visual lag (−52.7 ms) and the lowest LVD among the causal conditions reported above. We stress that this measurement </w:t>
      </w:r>
      <w:r>
        <w:rPr>
          <w:i/>
          <w:sz w:val="21"/>
        </w:rPr>
        <w:t>must</w:t>
      </w:r>
      <w:r>
        <w:rPr>
          <w:sz w:val="21"/>
        </w:rPr>
        <w:t xml:space="preserve"> use content-matched tokens: pairing predicted and reference words by sequence index instead — invalid under conversational ASR, where a single insertion or deletion shifts every subsequent word — inflates the apparent MAE by more than an order of magnitude and would reflect word-sequence misalignment, not articulation timing.</w:t>
      </w:r>
    </w:p>
    <w:p>
      <w:pPr>
        <w:spacing w:before="200"/>
      </w:pPr>
      <w:r>
        <w:rPr>
          <w:b/>
          <w:color w:val="2E74B5"/>
          <w:sz w:val="22"/>
        </w:rPr>
        <w:t>D. Layer-Wise Validation on the GRID Corpus</w:t>
      </w:r>
    </w:p>
    <w:p>
      <w:pPr>
        <w:jc w:val="both"/>
      </w:pPr>
      <w:r>
        <w:rPr>
          <w:sz w:val="21"/>
        </w:rPr>
        <w:t xml:space="preserve">The end-to-end metrics above conflate errors from all three layers. The GRID audiovisual sentence corpus [43] — 34 speakers × 1 000 read sentences — permits validating Layers 1 and 2 in isolation. Word- and phoneme-level reference timing is obtained by forced alignment (MFA [9]) of the studio-quality audio, on which the aligner operates near ceiling. (We found the corpus-distributed word alignments temporally inconsistent with the audio edition used here: speech onsets in the waveforms precede the corresponding </w:t>
      </w:r>
      <w:r>
        <w:rPr>
          <w:rFonts w:ascii="Consolas" w:hAnsi="Consolas"/>
          <w:sz w:val="19"/>
        </w:rPr>
        <w:t>.align</w:t>
      </w:r>
      <w:r>
        <w:rPr>
          <w:sz w:val="21"/>
        </w:rPr>
        <w:t xml:space="preserve"> entries by 362 ms on average — SD 165 ms over a 50-utterance check — an offset on which MFA and the streaming recognizer independently agree; all timing references are therefore taken from MFA.) The duration priors λ of Eq. (4) are fixed design constants (Section IV-C), not fitted to GRID; all measurements below are pure evaluation on 6 000 utterances from held-out speakers s29–s34. Three quantities are measured: (i) Layer-1 word boundary error — recognizer word timestamps (faster-whisper, int8, CPU; the Layer-1 configuration of Section V-E) vs MFA word boundaries, with word error rate computed after normalizing GRID's spoken-digit vocabulary (the recognizer merges "c four" into the callsign token "c4"; midpoint timing is measured only on identically matched tokens, so no timestamps are fabricated); (ii) Layer-2 phoneme timing error in isolation — Eq. (4) applied to </w:t>
      </w:r>
      <w:r>
        <w:rPr>
          <w:i/>
          <w:sz w:val="21"/>
        </w:rPr>
        <w:t>reference</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s29–s34 (n = 6 000 utterances; 101 265 phoneme midpoints for Layer 2; 55 502 for the composed condition). Mean (SD).</w:t>
      </w:r>
    </w:p>
    <w:tbl>
      <w:tblPr>
        <w:tblStyle w:val="TableGrid"/>
        <w:jc w:val="center"/>
        <w:tblLook w:firstColumn="1" w:firstRow="1" w:lastColumn="0" w:lastRow="0" w:noHBand="0" w:noVBand="1" w:val="04A0"/>
        <w:tblW w:type="pct" w:w="5000"/>
        <w:tblLayout w:type="autofit"/>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sz w:val="19"/>
              </w:rPr>
              <w:t>Value</w:t>
            </w:r>
          </w:p>
        </w:tc>
      </w:tr>
      <w:tr>
        <w:tc>
          <w:tcPr>
            <w:tcW w:type="dxa" w:w="3249"/>
          </w:tcPr>
          <w:p>
            <w:r>
              <w:rPr>
                <w:sz w:val="19"/>
              </w:rPr>
              <w:t>Word start MAE, tiny vs MFA (ms)</w:t>
            </w:r>
          </w:p>
        </w:tc>
        <w:tc>
          <w:tcPr>
            <w:tcW w:type="dxa" w:w="3249"/>
          </w:tcPr>
          <w:p>
            <w:r>
              <w:rPr>
                <w:sz w:val="19"/>
              </w:rPr>
              <w:t>1</w:t>
            </w:r>
          </w:p>
        </w:tc>
        <w:tc>
          <w:tcPr>
            <w:tcW w:type="dxa" w:w="3249"/>
          </w:tcPr>
          <w:p>
            <w:r>
              <w:rPr>
                <w:sz w:val="19"/>
              </w:rPr>
              <w:t>69 (68)</w:t>
            </w:r>
          </w:p>
        </w:tc>
      </w:tr>
      <w:tr>
        <w:tc>
          <w:tcPr>
            <w:tcW w:type="dxa" w:w="3249"/>
          </w:tcPr>
          <w:p>
            <w:r>
              <w:rPr>
                <w:sz w:val="19"/>
              </w:rPr>
              <w:t>Word end MAE, tiny vs MFA (ms)</w:t>
            </w:r>
          </w:p>
        </w:tc>
        <w:tc>
          <w:tcPr>
            <w:tcW w:type="dxa" w:w="3249"/>
          </w:tcPr>
          <w:p>
            <w:r>
              <w:rPr>
                <w:sz w:val="19"/>
              </w:rPr>
              <w:t>1</w:t>
            </w:r>
          </w:p>
        </w:tc>
        <w:tc>
          <w:tcPr>
            <w:tcW w:type="dxa" w:w="3249"/>
          </w:tcPr>
          <w:p>
            <w:r>
              <w:rPr>
                <w:sz w:val="19"/>
              </w:rPr>
              <w:t>73 (55)</w:t>
            </w:r>
          </w:p>
        </w:tc>
      </w:tr>
      <w:tr>
        <w:tc>
          <w:tcPr>
            <w:tcW w:type="dxa" w:w="3249"/>
          </w:tcPr>
          <w:p>
            <w:r>
              <w:rPr>
                <w:sz w:val="19"/>
              </w:rPr>
              <w:t>Word start MAE, base vs MFA (ms)</w:t>
            </w:r>
          </w:p>
        </w:tc>
        <w:tc>
          <w:tcPr>
            <w:tcW w:type="dxa" w:w="3249"/>
          </w:tcPr>
          <w:p>
            <w:r>
              <w:rPr>
                <w:sz w:val="19"/>
              </w:rPr>
              <w:t>1</w:t>
            </w:r>
          </w:p>
        </w:tc>
        <w:tc>
          <w:tcPr>
            <w:tcW w:type="dxa" w:w="3249"/>
          </w:tcPr>
          <w:p>
            <w:r>
              <w:rPr>
                <w:sz w:val="19"/>
              </w:rPr>
              <w:t>90 (61)</w:t>
            </w:r>
          </w:p>
        </w:tc>
      </w:tr>
      <w:tr>
        <w:tc>
          <w:tcPr>
            <w:tcW w:type="dxa" w:w="3249"/>
          </w:tcPr>
          <w:p>
            <w:r>
              <w:rPr>
                <w:sz w:val="19"/>
              </w:rPr>
              <w:t>Word error rate, tiny / base (%)</w:t>
            </w:r>
          </w:p>
        </w:tc>
        <w:tc>
          <w:tcPr>
            <w:tcW w:type="dxa" w:w="3249"/>
          </w:tcPr>
          <w:p>
            <w:r>
              <w:rPr>
                <w:sz w:val="19"/>
              </w:rPr>
              <w:t>1</w:t>
            </w:r>
          </w:p>
        </w:tc>
        <w:tc>
          <w:tcPr>
            <w:tcW w:type="dxa" w:w="3249"/>
          </w:tcPr>
          <w:p>
            <w:r>
              <w:rPr>
                <w:sz w:val="19"/>
              </w:rPr>
              <w:t>24.6 / 18.0</w:t>
            </w:r>
          </w:p>
        </w:tc>
      </w:tr>
      <w:tr>
        <w:tc>
          <w:tcPr>
            <w:tcW w:type="dxa" w:w="3249"/>
          </w:tcPr>
          <w:p>
            <w:r>
              <w:rPr>
                <w:sz w:val="19"/>
              </w:rPr>
              <w:t>Phoneme midpoint MAE, ref. words + λ priors (ms)</w:t>
            </w:r>
          </w:p>
        </w:tc>
        <w:tc>
          <w:tcPr>
            <w:tcW w:type="dxa" w:w="3249"/>
          </w:tcPr>
          <w:p>
            <w:r>
              <w:rPr>
                <w:sz w:val="19"/>
              </w:rPr>
              <w:t>2</w:t>
            </w:r>
          </w:p>
        </w:tc>
        <w:tc>
          <w:tcPr>
            <w:tcW w:type="dxa" w:w="3249"/>
          </w:tcPr>
          <w:p>
            <w:r>
              <w:rPr>
                <w:sz w:val="19"/>
              </w:rPr>
              <w:t>18 (16)</w:t>
            </w:r>
          </w:p>
        </w:tc>
      </w:tr>
      <w:tr>
        <w:tc>
          <w:tcPr>
            <w:tcW w:type="dxa" w:w="3249"/>
          </w:tcPr>
          <w:p>
            <w:r>
              <w:rPr>
                <w:sz w:val="19"/>
              </w:rPr>
              <w:t>Phoneme midpoint MAE, ref. words + uniform split (ms)</w:t>
            </w:r>
          </w:p>
        </w:tc>
        <w:tc>
          <w:tcPr>
            <w:tcW w:type="dxa" w:w="3249"/>
          </w:tcPr>
          <w:p>
            <w:r>
              <w:rPr>
                <w:sz w:val="19"/>
              </w:rPr>
              <w:t>2</w:t>
            </w:r>
          </w:p>
        </w:tc>
        <w:tc>
          <w:tcPr>
            <w:tcW w:type="dxa" w:w="3249"/>
          </w:tcPr>
          <w:p>
            <w:r>
              <w:rPr>
                <w:sz w:val="19"/>
              </w:rPr>
              <w:t>20 (20)</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65 (54)</w:t>
            </w:r>
          </w:p>
        </w:tc>
      </w:tr>
    </w:tbl>
    <w:p/>
    <w:p>
      <w:pPr>
        <w:jc w:val="center"/>
      </w:pPr>
      <w:r>
        <w:drawing>
          <wp:inline xmlns:a="http://schemas.openxmlformats.org/drawingml/2006/main" xmlns:pic="http://schemas.openxmlformats.org/drawingml/2006/picture">
            <wp:extent cx="5486400" cy="3243444"/>
            <wp:docPr id="4" name="Picture 4"/>
            <wp:cNvGraphicFramePr>
              <a:graphicFrameLocks noChangeAspect="1"/>
            </wp:cNvGraphicFramePr>
            <a:graphic>
              <a:graphicData uri="http://schemas.openxmlformats.org/drawingml/2006/picture">
                <pic:pic>
                  <pic:nvPicPr>
                    <pic:cNvPr id="0" name="fig3_layerwise_grid.png"/>
                    <pic:cNvPicPr/>
                  </pic:nvPicPr>
                  <pic:blipFill>
                    <a:blip r:embed="rId12"/>
                    <a:stretch>
                      <a:fillRect/>
                    </a:stretch>
                  </pic:blipFill>
                  <pic:spPr>
                    <a:xfrm>
                      <a:off x="0" y="0"/>
                      <a:ext cx="5486400" cy="3243444"/>
                    </a:xfrm>
                    <a:prstGeom prst="rect"/>
                  </pic:spPr>
                </pic:pic>
              </a:graphicData>
            </a:graphic>
          </wp:inline>
        </w:drawing>
      </w:r>
    </w:p>
    <w:p>
      <w:pPr>
        <w:jc w:val="both"/>
      </w:pPr>
      <w:r>
        <w:rPr>
          <w:b/>
          <w:sz w:val="21"/>
        </w:rPr>
        <w:t>FIGURE 4.</w:t>
      </w:r>
      <w:r>
        <w:rPr>
          <w:sz w:val="21"/>
        </w:rPr>
        <w:t xml:space="preserve"> Layer-wise timing validation on GRID (Table 5). Layer 2 in isolation (given reference word boundaries) places phoneme midpoints within 18 ms of forced alignment, below the ±45 ms detectability bound. Composing with Layer-1 (ASR) word boundaries raises the error to 65 ms, tracking the Layer-1 word-start MAE (69 ms) — the recognizer, not the duration model, is the accuracy bottleneck.</w:t>
      </w:r>
    </w:p>
    <w:p>
      <w:pPr>
        <w:jc w:val="both"/>
      </w:pPr>
      <w:r>
        <w:rPr>
          <w:sz w:val="21"/>
        </w:rPr>
        <w:t xml:space="preserve">Three observations follow (Figure 4). </w:t>
      </w:r>
      <w:r>
        <w:rPr>
          <w:b/>
          <w:sz w:val="21"/>
        </w:rPr>
        <w:t>First, Layer 2 in isolation is accurate:</w:t>
      </w:r>
      <w:r>
        <w:rPr>
          <w:sz w:val="21"/>
        </w:rPr>
        <w:t xml:space="preserve"> given correct word boundaries, the class-prior allocation places phoneme midpoints within 18 ms (SD 16) of forced alignment — comfortably below the ±45 ms audio-leading detectability bound [27]. The margin over uniform splitting is modest on GRID (18 vs 20 ms): the corpus's 51-word grammar consists of short words for which uniform allocation is already near-optimal, so this result validates Eq. (4) but does not yet demonstrate the prior's advantage on long conversational words, which remains open. </w:t>
      </w:r>
      <w:r>
        <w:rPr>
          <w:b/>
          <w:sz w:val="21"/>
        </w:rPr>
        <w:t>Second, the composed error is recognizer-dominated:</w:t>
      </w:r>
      <w:r>
        <w:rPr>
          <w:sz w:val="21"/>
        </w:rPr>
        <w:t xml:space="preserve"> composing with ASR boundaries raises the error from 18 to 65 ms, closely tracking the word-start MAE (69 ms) — the recognizer, not duration estimation, is the accuracy bottleneck, consistent with the latency findings of Section V-E. The composed figure exceeds the ±45 ms detectability bound; because the error is bounded per word and non-accumulating (Section IV-C), it manifests as transient per-word offsets rather than progressive drift, but sub-detectability composed timing on compact CPU models is not yet achieved. </w:t>
      </w:r>
      <w:r>
        <w:rPr>
          <w:b/>
          <w:sz w:val="21"/>
        </w:rPr>
        <w:t>Third, model scaling improves recognition, not timing:</w:t>
      </w:r>
      <w:r>
        <w:rPr>
          <w:sz w:val="21"/>
        </w:rPr>
        <w:t xml:space="preserve"> "base" lowers WER (18.0 vs 24.6%) yet its word-start MAE is no better (90 vs 69 ms), indicating that boundary precision is limited by Whisper's attention-derived timestamps rather than by acoustic modeling capacity — a larger decoder does not buy better lip-sync anchors. We caution that GRID is read, slow, hyper-articulated English over a 51-word grammar, far outside the recognizer's conversational training distribution (the 24.6% WER includes systematic homophone substitutions such as "bin"→"been"); it is used here strictly for layer-wise validation, while end-to-end claims (Section V-C) rest on live native-audio LLM speech.</w:t>
      </w:r>
    </w:p>
    <w:p>
      <w:pPr>
        <w:spacing w:before="200"/>
      </w:pPr>
      <w:r>
        <w:rPr>
          <w:b/>
          <w:color w:val="2E74B5"/>
          <w:sz w:val="22"/>
        </w:rPr>
        <w:t>E. Latency and Computational Cost</w:t>
      </w:r>
    </w:p>
    <w:p>
      <w:pPr>
        <w:jc w:val="both"/>
      </w:pPr>
      <w:r>
        <w:rPr>
          <w:sz w:val="21"/>
        </w:rPr>
        <w:t xml:space="preserve">We benchmark TranscriptionSync's three layers as standalone, component-wise modules on a commodity 4-core/8-thread x86_64 CPU; we then report (Table 9) the live, deployed </w:t>
      </w:r>
      <w:r>
        <w:rPr>
          <w:i/>
          <w:sz w:val="21"/>
        </w:rPr>
        <w:t>avatar-side added latency</w:t>
      </w:r>
      <w:r>
        <w:rPr>
          <w:sz w:val="21"/>
        </w:rPr>
        <w:t xml:space="preserve"> measured inside the running Gemini Live integration. Full voice-to-voice T₀–T₃ instrumentation, which additionally captures the LLM's own generation latency, remains future work (Section VI-B, Limitations).</w:t>
      </w:r>
    </w:p>
    <w:p>
      <w:pPr>
        <w:jc w:val="both"/>
      </w:pPr>
      <w:r>
        <w:rPr>
          <w:b/>
          <w:sz w:val="21"/>
        </w:rPr>
        <w:t>Layers 2-3</w:t>
      </w:r>
      <w:r>
        <w:rPr>
          <w:sz w:val="21"/>
        </w:rPr>
        <w:t xml:space="preserve"> (G2P + Eqs. (4)–(5) duration estimation, and Eqs. (6)–(7) kernel co-articulated synthesis) were implemented exactly as specified and exercised on 5 English + 5 Turkish sentences with synthetic word-timestamp triples (425 words, 11 388 rendered frames, 30 repetitions); see </w:t>
      </w:r>
      <w:r>
        <w:rPr>
          <w:rFonts w:ascii="Consolas" w:hAnsi="Consolas"/>
          <w:sz w:val="19"/>
        </w:rPr>
        <w:t>paper/tools/layer23_bench.py</w:t>
      </w:r>
      <w:r>
        <w:rPr>
          <w:sz w:val="21"/>
        </w:rPr>
        <w:t>.</w:t>
      </w:r>
    </w:p>
    <w:p>
      <w:pPr>
        <w:jc w:val="both"/>
      </w:pPr>
      <w:r>
        <w:rPr>
          <w:b/>
          <w:sz w:val="21"/>
        </w:rPr>
        <w:t>Layer 1</w:t>
      </w:r>
      <w:r>
        <w:rPr>
          <w:sz w:val="21"/>
        </w:rPr>
        <w:t xml:space="preserve"> (streaming word-timestamp ASR) was implemented with </w:t>
      </w:r>
      <w:r>
        <w:rPr>
          <w:rFonts w:ascii="Consolas" w:hAnsi="Consolas"/>
          <w:sz w:val="19"/>
        </w:rPr>
        <w:t>faster-whisper</w:t>
      </w:r>
      <w:r>
        <w:rPr>
          <w:sz w:val="21"/>
        </w:rPr>
        <w:t xml:space="preserve">'s "tiny" model, int8-quantized, on CPU, using the design values W = 3.2 s, h = 320 ms, g = 400 ms (Section IV-B), simulating the sliding-window playout-buffer protocol over 5 English + 5 Turkish utterances synthesized with espeak-ng; see </w:t>
      </w:r>
      <w:r>
        <w:rPr>
          <w:rFonts w:ascii="Consolas" w:hAnsi="Consolas"/>
          <w:sz w:val="19"/>
        </w:rPr>
        <w:t>paper/tools/layer1_bench.py</w:t>
      </w:r>
      <w:r>
        <w:rPr>
          <w:sz w:val="21"/>
        </w:rPr>
        <w:t>.</w:t>
      </w:r>
    </w:p>
    <w:p>
      <w:pPr>
        <w:jc w:val="both"/>
      </w:pPr>
      <w:r>
        <w:rPr>
          <w:b/>
          <w:sz w:val="21"/>
        </w:rPr>
        <w:t>TABLE 6.</w:t>
      </w:r>
      <w:r>
        <w:rPr>
          <w:sz w:val="21"/>
        </w:rPr>
        <w:t xml:space="preserve"> Pipeline latency and CPU cost, measured component-wise (medians and 95th percentiles; n = 425 words / 11 388 frames for Layers 2-3, n = 47 EN / 55 TR finalized words for Layer 1).</w:t>
      </w:r>
    </w:p>
    <w:tbl>
      <w:tblPr>
        <w:tblStyle w:val="TableGrid"/>
        <w:jc w:val="center"/>
        <w:tblLook w:firstColumn="1" w:firstRow="1" w:lastColumn="0" w:lastRow="0" w:noHBand="0" w:noVBand="1" w:val="04A0"/>
        <w:tblW w:type="pct" w:w="5000"/>
        <w:tblLayout w:type="autofit"/>
      </w:tblPr>
      <w:tblGrid>
        <w:gridCol w:w="2436"/>
        <w:gridCol w:w="2436"/>
        <w:gridCol w:w="2436"/>
        <w:gridCol w:w="2436"/>
      </w:tblGrid>
      <w:tr>
        <w:tc>
          <w:tcPr>
            <w:tcW w:type="dxa" w:w="2436"/>
            <w:shd w:val="clear" w:fill="BDD7EE"/>
          </w:tcPr>
          <w:p>
            <w:r>
              <w:rPr>
                <w:b/>
                <w:sz w:val="19"/>
              </w:rPr>
              <w:t>Stage</w:t>
            </w:r>
          </w:p>
        </w:tc>
        <w:tc>
          <w:tcPr>
            <w:tcW w:type="dxa" w:w="2436"/>
            <w:shd w:val="clear" w:fill="BDD7EE"/>
          </w:tcPr>
          <w:p>
            <w:r>
              <w:rPr>
                <w:b/>
                <w:sz w:val="19"/>
              </w:rPr>
              <w:t>Definition</w:t>
            </w:r>
          </w:p>
        </w:tc>
        <w:tc>
          <w:tcPr>
            <w:tcW w:type="dxa" w:w="2436"/>
            <w:shd w:val="clear" w:fill="BDD7EE"/>
          </w:tcPr>
          <w:p>
            <w:r>
              <w:rPr>
                <w:b/>
                <w:sz w:val="19"/>
              </w:rPr>
              <w:t>English</w:t>
            </w:r>
          </w:p>
        </w:tc>
        <w:tc>
          <w:tcPr>
            <w:tcW w:type="dxa" w:w="2436"/>
            <w:shd w:val="clear" w:fill="BDD7EE"/>
          </w:tcPr>
          <w:p>
            <w:r>
              <w:rPr>
                <w:b/>
                <w:sz w:val="19"/>
              </w:rPr>
              <w:t>Turkish</w:t>
            </w:r>
          </w:p>
        </w:tc>
      </w:tr>
      <w:tr>
        <w:tc>
          <w:tcPr>
            <w:tcW w:type="dxa" w:w="2436"/>
          </w:tcPr>
          <w:p>
            <w:r>
              <w:rPr>
                <w:sz w:val="19"/>
              </w:rPr>
              <w:t>Word emission lag, median (ms)</w:t>
            </w:r>
          </w:p>
        </w:tc>
        <w:tc>
          <w:tcPr>
            <w:tcW w:type="dxa" w:w="2436"/>
          </w:tcPr>
          <w:p>
            <w:r>
              <w:rPr>
                <w:sz w:val="19"/>
              </w:rPr>
              <w:t>Layer 1</w:t>
            </w:r>
          </w:p>
        </w:tc>
        <w:tc>
          <w:tcPr>
            <w:tcW w:type="dxa" w:w="2436"/>
          </w:tcPr>
          <w:p>
            <w:r>
              <w:rPr>
                <w:sz w:val="19"/>
              </w:rPr>
              <w:t>0.0</w:t>
            </w:r>
          </w:p>
        </w:tc>
        <w:tc>
          <w:tcPr>
            <w:tcW w:type="dxa" w:w="2436"/>
          </w:tcPr>
          <w:p>
            <w:r>
              <w:rPr>
                <w:sz w:val="19"/>
              </w:rPr>
              <w:t>902</w:t>
            </w:r>
          </w:p>
        </w:tc>
      </w:tr>
      <w:tr>
        <w:tc>
          <w:tcPr>
            <w:tcW w:type="dxa" w:w="2436"/>
          </w:tcPr>
          <w:p>
            <w:r>
              <w:rPr>
                <w:sz w:val="19"/>
              </w:rPr>
              <w:t>Word emission lag, P95 (ms)</w:t>
            </w:r>
          </w:p>
        </w:tc>
        <w:tc>
          <w:tcPr>
            <w:tcW w:type="dxa" w:w="2436"/>
          </w:tcPr>
          <w:p>
            <w:r>
              <w:rPr>
                <w:sz w:val="19"/>
              </w:rPr>
              <w:t>Layer 1</w:t>
            </w:r>
          </w:p>
        </w:tc>
        <w:tc>
          <w:tcPr>
            <w:tcW w:type="dxa" w:w="2436"/>
          </w:tcPr>
          <w:p>
            <w:r>
              <w:rPr>
                <w:sz w:val="19"/>
              </w:rPr>
              <w:t>214</w:t>
            </w:r>
          </w:p>
        </w:tc>
        <w:tc>
          <w:tcPr>
            <w:tcW w:type="dxa" w:w="2436"/>
          </w:tcPr>
          <w:p>
            <w:r>
              <w:rPr>
                <w:sz w:val="19"/>
              </w:rPr>
              <w:t>4915</w:t>
            </w:r>
          </w:p>
        </w:tc>
      </w:tr>
      <w:tr>
        <w:tc>
          <w:tcPr>
            <w:tcW w:type="dxa" w:w="2436"/>
          </w:tcPr>
          <w:p>
            <w:r>
              <w:rPr>
                <w:sz w:val="19"/>
              </w:rPr>
              <w:t>ASR window processing time, median (ms)</w:t>
            </w:r>
          </w:p>
        </w:tc>
        <w:tc>
          <w:tcPr>
            <w:tcW w:type="dxa" w:w="2436"/>
          </w:tcPr>
          <w:p>
            <w:r>
              <w:rPr>
                <w:sz w:val="19"/>
              </w:rPr>
              <w:t>Layer 1</w:t>
            </w:r>
          </w:p>
        </w:tc>
        <w:tc>
          <w:tcPr>
            <w:tcW w:type="dxa" w:w="2436"/>
          </w:tcPr>
          <w:p>
            <w:r>
              <w:rPr>
                <w:sz w:val="19"/>
              </w:rPr>
              <w:t>479</w:t>
            </w:r>
          </w:p>
        </w:tc>
        <w:tc>
          <w:tcPr>
            <w:tcW w:type="dxa" w:w="2436"/>
          </w:tcPr>
          <w:p>
            <w:r>
              <w:rPr>
                <w:sz w:val="19"/>
              </w:rPr>
              <w:t>1779</w:t>
            </w:r>
          </w:p>
        </w:tc>
      </w:tr>
      <w:tr>
        <w:tc>
          <w:tcPr>
            <w:tcW w:type="dxa" w:w="2436"/>
          </w:tcPr>
          <w:p>
            <w:r>
              <w:rPr>
                <w:sz w:val="19"/>
              </w:rPr>
              <w:t>ASR window processing time, P95 (ms)</w:t>
            </w:r>
          </w:p>
        </w:tc>
        <w:tc>
          <w:tcPr>
            <w:tcW w:type="dxa" w:w="2436"/>
          </w:tcPr>
          <w:p>
            <w:r>
              <w:rPr>
                <w:sz w:val="19"/>
              </w:rPr>
              <w:t>Layer 1</w:t>
            </w:r>
          </w:p>
        </w:tc>
        <w:tc>
          <w:tcPr>
            <w:tcW w:type="dxa" w:w="2436"/>
          </w:tcPr>
          <w:p>
            <w:r>
              <w:rPr>
                <w:sz w:val="19"/>
              </w:rPr>
              <w:t>512</w:t>
            </w:r>
          </w:p>
        </w:tc>
        <w:tc>
          <w:tcPr>
            <w:tcW w:type="dxa" w:w="2436"/>
          </w:tcPr>
          <w:p>
            <w:r>
              <w:rPr>
                <w:sz w:val="19"/>
              </w:rPr>
              <w:t>5335</w:t>
            </w:r>
          </w:p>
        </w:tc>
      </w:tr>
      <w:tr>
        <w:tc>
          <w:tcPr>
            <w:tcW w:type="dxa" w:w="2436"/>
          </w:tcPr>
          <w:p>
            <w:r>
              <w:rPr>
                <w:sz w:val="19"/>
              </w:rPr>
              <w:t>ASR CPU load (one core, %)</w:t>
            </w:r>
          </w:p>
        </w:tc>
        <w:tc>
          <w:tcPr>
            <w:tcW w:type="dxa" w:w="2436"/>
          </w:tcPr>
          <w:p>
            <w:r>
              <w:rPr>
                <w:sz w:val="19"/>
              </w:rPr>
              <w:t>Layer 1</w:t>
            </w:r>
          </w:p>
        </w:tc>
        <w:tc>
          <w:tcPr>
            <w:tcW w:type="dxa" w:w="2436"/>
          </w:tcPr>
          <w:p>
            <w:r>
              <w:rPr>
                <w:sz w:val="19"/>
              </w:rPr>
              <w:t>≈ 100</w:t>
            </w:r>
          </w:p>
        </w:tc>
        <w:tc>
          <w:tcPr>
            <w:tcW w:type="dxa" w:w="2436"/>
          </w:tcPr>
          <w:p>
            <w:r>
              <w:rPr>
                <w:sz w:val="19"/>
              </w:rPr>
              <w:t>≈ 100</w:t>
            </w:r>
          </w:p>
        </w:tc>
      </w:tr>
      <w:tr>
        <w:tc>
          <w:tcPr>
            <w:tcW w:type="dxa" w:w="2436"/>
          </w:tcPr>
          <w:p>
            <w:r>
              <w:rPr>
                <w:sz w:val="19"/>
              </w:rPr>
              <w:t>Frame synthesis, median / P95 (ms)</w:t>
            </w:r>
          </w:p>
        </w:tc>
        <w:tc>
          <w:tcPr>
            <w:tcW w:type="dxa" w:w="2436"/>
          </w:tcPr>
          <w:p>
            <w:r>
              <w:rPr>
                <w:sz w:val="19"/>
              </w:rPr>
              <w:t>Layer 3</w:t>
            </w:r>
          </w:p>
        </w:tc>
        <w:tc>
          <w:tcPr>
            <w:tcW w:type="dxa" w:w="2436"/>
          </w:tcPr>
          <w:p>
            <w:r>
              <w:rPr>
                <w:sz w:val="19"/>
              </w:rPr>
              <w:t>0.049 / 0.070</w:t>
            </w:r>
          </w:p>
        </w:tc>
        <w:tc>
          <w:tcPr>
            <w:tcW w:type="dxa" w:w="2436"/>
          </w:tcPr>
          <w:p>
            <w:r>
              <w:rPr>
                <w:sz w:val="19"/>
              </w:rPr>
              <w:t>(language-independent)</w:t>
            </w:r>
          </w:p>
        </w:tc>
      </w:tr>
      <w:tr>
        <w:tc>
          <w:tcPr>
            <w:tcW w:type="dxa" w:w="2436"/>
          </w:tcPr>
          <w:p>
            <w:r>
              <w:rPr>
                <w:sz w:val="19"/>
              </w:rPr>
              <w:t>G2P + duration est., median / P95 (ms)</w:t>
            </w:r>
          </w:p>
        </w:tc>
        <w:tc>
          <w:tcPr>
            <w:tcW w:type="dxa" w:w="2436"/>
          </w:tcPr>
          <w:p>
            <w:r>
              <w:rPr>
                <w:sz w:val="19"/>
              </w:rPr>
              <w:t>Layer 2</w:t>
            </w:r>
          </w:p>
        </w:tc>
        <w:tc>
          <w:tcPr>
            <w:tcW w:type="dxa" w:w="2436"/>
          </w:tcPr>
          <w:p>
            <w:r>
              <w:rPr>
                <w:sz w:val="19"/>
              </w:rPr>
              <w:t>0.005 / 0.042</w:t>
            </w:r>
          </w:p>
        </w:tc>
        <w:tc>
          <w:tcPr>
            <w:tcW w:type="dxa" w:w="2436"/>
          </w:tcPr>
          <w:p>
            <w:r>
              <w:rPr>
                <w:sz w:val="19"/>
              </w:rPr>
              <w:t>(rule-based G2P, comparable)</w:t>
            </w:r>
          </w:p>
        </w:tc>
      </w:tr>
      <w:tr>
        <w:tc>
          <w:tcPr>
            <w:tcW w:type="dxa" w:w="2436"/>
          </w:tcPr>
          <w:p>
            <w:r>
              <w:rPr>
                <w:sz w:val="19"/>
              </w:rPr>
              <w:t>Layer 2-3 CPU load (one core, %)</w:t>
            </w:r>
          </w:p>
        </w:tc>
        <w:tc>
          <w:tcPr>
            <w:tcW w:type="dxa" w:w="2436"/>
          </w:tcPr>
          <w:p>
            <w:r>
              <w:rPr>
                <w:sz w:val="19"/>
              </w:rPr>
              <w:t>Layers 2-3</w:t>
            </w:r>
          </w:p>
        </w:tc>
        <w:tc>
          <w:tcPr>
            <w:tcW w:type="dxa" w:w="2436"/>
          </w:tcPr>
          <w:p>
            <w:r>
              <w:rPr>
                <w:sz w:val="19"/>
              </w:rPr>
              <w:t>0.29</w:t>
            </w:r>
          </w:p>
        </w:tc>
        <w:tc>
          <w:tcPr>
            <w:tcW w:type="dxa" w:w="2436"/>
          </w:tcPr>
          <w:p>
            <w:r>
              <w:rPr>
                <w:sz w:val="19"/>
              </w:rPr>
              <w:t>0.29</w:t>
            </w:r>
          </w:p>
        </w:tc>
      </w:tr>
      <w:tr>
        <w:tc>
          <w:tcPr>
            <w:tcW w:type="dxa" w:w="2436"/>
          </w:tcPr>
          <w:p>
            <w:r>
              <w:rPr>
                <w:sz w:val="19"/>
              </w:rPr>
              <w:t>Implied Δ by Eq. (3)</w:t>
            </w:r>
          </w:p>
        </w:tc>
        <w:tc>
          <w:tcPr>
            <w:tcW w:type="dxa" w:w="2436"/>
          </w:tcPr>
          <w:p>
            <w:r>
              <w:rPr>
                <w:sz w:val="19"/>
              </w:rPr>
              <w:t>playout buffer</w:t>
            </w:r>
          </w:p>
        </w:tc>
        <w:tc>
          <w:tcPr>
            <w:tcW w:type="dxa" w:w="2436"/>
          </w:tcPr>
          <w:p>
            <w:r>
              <w:rPr>
                <w:sz w:val="19"/>
              </w:rPr>
              <w:t>≈ 215 ms</w:t>
            </w:r>
          </w:p>
        </w:tc>
        <w:tc>
          <w:tcPr>
            <w:tcW w:type="dxa" w:w="2436"/>
          </w:tcPr>
          <w:p>
            <w:r>
              <w:rPr>
                <w:sz w:val="19"/>
              </w:rPr>
              <w:t>≈ 4.9 s (impractical)</w:t>
            </w:r>
          </w:p>
        </w:tc>
      </w:tr>
    </w:tbl>
    <w:p/>
    <w:p>
      <w:pPr>
        <w:jc w:val="center"/>
      </w:pPr>
      <w:r>
        <w:drawing>
          <wp:inline xmlns:a="http://schemas.openxmlformats.org/drawingml/2006/main" xmlns:pic="http://schemas.openxmlformats.org/drawingml/2006/picture">
            <wp:extent cx="5486400" cy="2992192"/>
            <wp:docPr id="5" name="Picture 5"/>
            <wp:cNvGraphicFramePr>
              <a:graphicFrameLocks noChangeAspect="1"/>
            </wp:cNvGraphicFramePr>
            <a:graphic>
              <a:graphicData uri="http://schemas.openxmlformats.org/drawingml/2006/picture">
                <pic:pic>
                  <pic:nvPicPr>
                    <pic:cNvPr id="0" name="fig4_latency_en_tr.png"/>
                    <pic:cNvPicPr/>
                  </pic:nvPicPr>
                  <pic:blipFill>
                    <a:blip r:embed="rId13"/>
                    <a:stretch>
                      <a:fillRect/>
                    </a:stretch>
                  </pic:blipFill>
                  <pic:spPr>
                    <a:xfrm>
                      <a:off x="0" y="0"/>
                      <a:ext cx="5486400" cy="2992192"/>
                    </a:xfrm>
                    <a:prstGeom prst="rect"/>
                  </pic:spPr>
                </pic:pic>
              </a:graphicData>
            </a:graphic>
          </wp:inline>
        </w:drawing>
      </w:r>
    </w:p>
    <w:p>
      <w:pPr>
        <w:jc w:val="both"/>
      </w:pPr>
      <w:r>
        <w:rPr>
          <w:b/>
          <w:sz w:val="21"/>
        </w:rPr>
        <w:t>FIGURE 5.</w:t>
      </w:r>
      <w:r>
        <w:rPr>
          <w:sz w:val="21"/>
        </w:rPr>
        <w:t xml:space="preserve"> Layer-1 (streaming word-timestamp ASR) latency, English vs. Turkish, log scale (Table 6). The "tiny" int8 multilingual model gives a practical word-emission lag (P95 = 214 ms, Δ ≈ 215 ms) for English, but is roughly an order of magnitude slower for Turkish (P95 = 4.9 s), making it impractical for that language at this model size.</w:t>
      </w:r>
    </w:p>
    <w:p>
      <w:pPr>
        <w:jc w:val="both"/>
      </w:pPr>
      <w:r>
        <w:rPr>
          <w:sz w:val="21"/>
        </w:rPr>
        <w:t>These measurements confirm the Layer-2/3 negligibility claim of Section IV-E with a wide margin: per-frame synthesis (P95 = 0.070 ms) and per-word duration estimation (P95 = 0.042 ms) are roughly three orders of magnitude below the 50 ms design target, and together occupy 0.29% of one CPU core. The latency budget of Eq. (3) is therefore set entirely by Layer 1.</w:t>
      </w:r>
    </w:p>
    <w:p>
      <w:pPr>
        <w:jc w:val="both"/>
      </w:pPr>
      <w:r>
        <w:rPr>
          <w:sz w:val="21"/>
        </w:rPr>
        <w:t xml:space="preserve">For </w:t>
      </w:r>
      <w:r>
        <w:rPr>
          <w:b/>
          <w:sz w:val="21"/>
        </w:rPr>
        <w:t>English</w:t>
      </w:r>
      <w:r>
        <w:rPr>
          <w:sz w:val="21"/>
        </w:rPr>
        <w:t xml:space="preserve">, the "tiny" int8 model yields a word emission lag of P95 = 214 ms, giving Δ ≈ 215 ms — a small, practical playout delay. However, the per-window processing time (median 479 ms, P95 512 ms) exceeds the nominal hop h = 320 ms, so the recognizer cannot keep pace with h; in a single-threaded deployment it instead runs back-to-back, continuously occupying one CPU core (ASR CPU load ≈ 100%, in contrast to the negligible Layer-2/3 load of Section IV-E — Layer 1 is cheap in </w:t>
      </w:r>
      <w:r>
        <w:rPr>
          <w:i/>
          <w:sz w:val="21"/>
        </w:rPr>
        <w:t>latency</w:t>
      </w:r>
      <w:r>
        <w:rPr>
          <w:sz w:val="21"/>
        </w:rPr>
        <w:t xml:space="preserve"> but not in </w:t>
      </w:r>
      <w:r>
        <w:rPr>
          <w:i/>
          <w:sz w:val="21"/>
        </w:rPr>
        <w:t>occupancy</w:t>
      </w:r>
      <w:r>
        <w:rPr>
          <w:sz w:val="21"/>
        </w:rPr>
        <w:t>).</w:t>
      </w:r>
    </w:p>
    <w:p>
      <w:pPr>
        <w:jc w:val="both"/>
      </w:pPr>
      <w:r>
        <w:rPr>
          <w:sz w:val="21"/>
        </w:rPr>
        <w:t xml:space="preserve">For </w:t>
      </w:r>
      <w:r>
        <w:rPr>
          <w:b/>
          <w:sz w:val="21"/>
        </w:rPr>
        <w:t>Turkish</w:t>
      </w:r>
      <w:r>
        <w:rPr>
          <w:sz w:val="21"/>
        </w:rPr>
        <w:t xml:space="preserve">, the same "tiny" model is both far slower (median window time 1.78 s, P95 5.3 s) and far less stable, occasionally entering long decoding loops on short utterances — a known weakness of the smallest multilingual Whisper checkpoints on lower-resource languages. The resulting emission lag (P95 = 4.9 s) implies an impractical Δ by Eq. (3): a 5-second playout delay is unacceptable for conversational use. This </w:t>
      </w:r>
      <w:r>
        <w:rPr>
          <w:b/>
          <w:sz w:val="21"/>
        </w:rPr>
        <w:t>language asymmetry</w:t>
      </w:r>
      <w:r>
        <w:rPr>
          <w:sz w:val="21"/>
        </w:rPr>
        <w:t xml:space="preserve"> (Figure 5) is a genuine finding rather than a measurement artifact, and is carried forward as a limitation (Section VI-B): production use for Turkish requires either a larger/ better-calibrated ASR model (at proportionally higher, but still single-core, CPU cost) or falling back to the training-free RATE variant (Section IV-F), which adds zero latency and is open-loop but language-agnostic.</w:t>
      </w:r>
    </w:p>
    <w:p>
      <w:pPr>
        <w:jc w:val="both"/>
      </w:pPr>
      <w:r>
        <w:rPr>
          <w:b/>
          <w:sz w:val="21"/>
        </w:rPr>
        <w:t>Live deployed added latency: streaming vs. buffered lip-sync.</w:t>
      </w:r>
      <w:r>
        <w:rPr>
          <w:sz w:val="21"/>
        </w:rPr>
        <w:t xml:space="preserve"> The component-wise figures above isolate TranscriptionSync's own layers; we additionally instrument, inside the running A.T.L.A.S–Gemini Live deployment, the </w:t>
      </w:r>
      <w:r>
        <w:rPr>
          <w:i/>
          <w:sz w:val="21"/>
        </w:rPr>
        <w:t>avatar-side added latency</w:t>
      </w:r>
      <w:r>
        <w:rPr>
          <w:sz w:val="21"/>
        </w:rPr>
        <w:t xml:space="preserve"> — the delay from output-audio availability to the first mouth motion — for two lip-sync architectures sharing the same CPU: the deployed streaming viseme engine (the real-time, transcription-driven path that ships in the assistant) and a learned audio-driven alternative (a 326 M-parameter HuBERT-Transformer regressor, representative of the family-(ii) approach the Introduction argues is GPU-bound [11], [36], [37]). Per-turn </w:t>
      </w:r>
      <w:r>
        <w:rPr>
          <w:rFonts w:ascii="Consolas" w:hAnsi="Consolas"/>
          <w:sz w:val="19"/>
        </w:rPr>
        <w:t>perf_counter</w:t>
      </w:r>
      <w:r>
        <w:rPr>
          <w:sz w:val="21"/>
        </w:rPr>
        <w:t xml:space="preserve"> stamps recorded </w:t>
      </w:r>
      <w:r>
        <w:rPr>
          <w:rFonts w:ascii="Consolas" w:hAnsi="Consolas"/>
          <w:sz w:val="19"/>
        </w:rPr>
        <w:t>t_audio_first</w:t>
      </w:r>
      <w:r>
        <w:rPr>
          <w:sz w:val="21"/>
        </w:rPr>
        <w:t xml:space="preserve">, </w:t>
      </w:r>
      <w:r>
        <w:rPr>
          <w:rFonts w:ascii="Consolas" w:hAnsi="Consolas"/>
          <w:sz w:val="19"/>
        </w:rPr>
        <w:t>t_turn_complete</w:t>
      </w:r>
      <w:r>
        <w:rPr>
          <w:sz w:val="21"/>
        </w:rPr>
        <w:t xml:space="preserve">, the dispatch/ready instants, and the first rendered mouth frame; </w:t>
      </w:r>
      <w:r>
        <w:rPr>
          <w:rFonts w:ascii="Consolas" w:hAnsi="Consolas"/>
          <w:sz w:val="19"/>
        </w:rPr>
        <w:t>paper/tools/latency_{eval,driver,live}.py</w:t>
      </w:r>
      <w:r>
        <w:rPr>
          <w:sz w:val="21"/>
        </w:rPr>
        <w:t xml:space="preserve"> reproduce the offline and live measurements. This added latency is strictly distinct from the </w:t>
      </w:r>
      <w:r>
        <w:rPr>
          <w:i/>
          <w:sz w:val="21"/>
        </w:rPr>
        <w:t>alignment</w:t>
      </w:r>
      <w:r>
        <w:rPr>
          <w:sz w:val="21"/>
        </w:rPr>
        <w:t xml:space="preserve"> error of Section V-C: it measures </w:t>
      </w:r>
      <w:r>
        <w:rPr>
          <w:i/>
          <w:sz w:val="21"/>
        </w:rPr>
        <w:t>when</w:t>
      </w:r>
      <w:r>
        <w:rPr>
          <w:sz w:val="21"/>
        </w:rPr>
        <w:t xml:space="preserve"> the mouth begins moving relative to the audio, not how well the two line up once moving.</w:t>
      </w:r>
    </w:p>
    <w:p>
      <w:pPr>
        <w:jc w:val="both"/>
      </w:pPr>
      <w:r>
        <w:rPr>
          <w:b/>
          <w:sz w:val="21"/>
        </w:rPr>
        <w:t>TABLE 9.</w:t>
      </w:r>
      <w:r>
        <w:rPr>
          <w:sz w:val="21"/>
        </w:rPr>
        <w:t xml:space="preserve"> Avatar-side added lip-sync latency, by architecture, on the same commodity CPU and the same 50-utterance evaluation set (Section V-B): the deployed streaming engine vs. two non-causal baselines — a learned audio-driven model (HuBERT, 326 M parameters) and the MFA forced-alignment oracle that already serves as the LVD reference (Section V-C). Means with percentile-bootstrap 95% CIs (10 000 resamples) where a per-utterance distribution exists; the streaming and HuBERT rows are additionally confirmed live over the UI WebSocket with the microphone muted (streaming N = 8, HuBERT N = 4 short turns). Added latency is the delay from output-audio availability to first mouth motion — distinct from alignment error (Section V-C).</w:t>
      </w:r>
    </w:p>
    <w:tbl>
      <w:tblPr>
        <w:tblStyle w:val="TableGrid"/>
        <w:jc w:val="center"/>
        <w:tblLook w:firstColumn="1" w:firstRow="1" w:lastColumn="0" w:lastRow="0" w:noHBand="0" w:noVBand="1" w:val="04A0"/>
        <w:tblW w:type="pct" w:w="5000"/>
        <w:tblLayout w:type="autofit"/>
      </w:tblPr>
      <w:tblGrid>
        <w:gridCol w:w="2436"/>
        <w:gridCol w:w="2436"/>
        <w:gridCol w:w="2436"/>
        <w:gridCol w:w="2436"/>
      </w:tblGrid>
      <w:tr>
        <w:tc>
          <w:tcPr>
            <w:tcW w:type="dxa" w:w="2436"/>
            <w:shd w:val="clear" w:fill="BDD7EE"/>
          </w:tcPr>
          <w:p>
            <w:r>
              <w:rPr>
                <w:b/>
                <w:sz w:val="19"/>
              </w:rPr>
              <w:t>Quantity</w:t>
            </w:r>
          </w:p>
        </w:tc>
        <w:tc>
          <w:tcPr>
            <w:tcW w:type="dxa" w:w="2436"/>
            <w:shd w:val="clear" w:fill="BDD7EE"/>
          </w:tcPr>
          <w:p>
            <w:r>
              <w:rPr>
                <w:b/>
                <w:sz w:val="19"/>
              </w:rPr>
              <w:t>Deployed streaming engine</w:t>
            </w:r>
          </w:p>
        </w:tc>
        <w:tc>
          <w:tcPr>
            <w:tcW w:type="dxa" w:w="2436"/>
            <w:shd w:val="clear" w:fill="BDD7EE"/>
          </w:tcPr>
          <w:p>
            <w:r>
              <w:rPr>
                <w:b/>
                <w:sz w:val="19"/>
              </w:rPr>
              <w:t>Learned audio-driven (HuBERT)</w:t>
            </w:r>
          </w:p>
        </w:tc>
        <w:tc>
          <w:tcPr>
            <w:tcW w:type="dxa" w:w="2436"/>
            <w:shd w:val="clear" w:fill="BDD7EE"/>
          </w:tcPr>
          <w:p>
            <w:r>
              <w:rPr>
                <w:b/>
                <w:sz w:val="19"/>
              </w:rPr>
              <w:t>Forced-alignment oracle (MFA)</w:t>
            </w:r>
          </w:p>
        </w:tc>
      </w:tr>
      <w:tr>
        <w:tc>
          <w:tcPr>
            <w:tcW w:type="dxa" w:w="2436"/>
          </w:tcPr>
          <w:p>
            <w:r>
              <w:rPr>
                <w:sz w:val="19"/>
              </w:rPr>
              <w:t>Architecture</w:t>
            </w:r>
          </w:p>
        </w:tc>
        <w:tc>
          <w:tcPr>
            <w:tcW w:type="dxa" w:w="2436"/>
          </w:tcPr>
          <w:p>
            <w:r>
              <w:rPr>
                <w:sz w:val="19"/>
              </w:rPr>
              <w:t>streaming (per output chunk)</w:t>
            </w:r>
          </w:p>
        </w:tc>
        <w:tc>
          <w:tcPr>
            <w:tcW w:type="dxa" w:w="2436"/>
          </w:tcPr>
          <w:p>
            <w:r>
              <w:rPr>
                <w:sz w:val="19"/>
              </w:rPr>
              <w:t>buffered (whole utterance)</w:t>
            </w:r>
          </w:p>
        </w:tc>
        <w:tc>
          <w:tcPr>
            <w:tcW w:type="dxa" w:w="2436"/>
          </w:tcPr>
          <w:p>
            <w:r>
              <w:rPr>
                <w:sz w:val="19"/>
              </w:rPr>
              <w:t>buffered (whole utterance + transcript)</w:t>
            </w:r>
          </w:p>
        </w:tc>
      </w:tr>
      <w:tr>
        <w:tc>
          <w:tcPr>
            <w:tcW w:type="dxa" w:w="2436"/>
          </w:tcPr>
          <w:p>
            <w:r>
              <w:rPr>
                <w:sz w:val="19"/>
              </w:rPr>
              <w:t>Causal?</w:t>
            </w:r>
          </w:p>
        </w:tc>
        <w:tc>
          <w:tcPr>
            <w:tcW w:type="dxa" w:w="2436"/>
          </w:tcPr>
          <w:p>
            <w:r>
              <w:rPr>
                <w:sz w:val="19"/>
              </w:rPr>
              <w:t>yes</w:t>
            </w:r>
          </w:p>
        </w:tc>
        <w:tc>
          <w:tcPr>
            <w:tcW w:type="dxa" w:w="2436"/>
          </w:tcPr>
          <w:p>
            <w:r>
              <w:rPr>
                <w:sz w:val="19"/>
              </w:rPr>
              <w:t>no</w:t>
            </w:r>
          </w:p>
        </w:tc>
        <w:tc>
          <w:tcPr>
            <w:tcW w:type="dxa" w:w="2436"/>
          </w:tcPr>
          <w:p>
            <w:r>
              <w:rPr>
                <w:sz w:val="19"/>
              </w:rPr>
              <w:t>no</w:t>
            </w:r>
          </w:p>
        </w:tc>
      </w:tr>
      <w:tr>
        <w:tc>
          <w:tcPr>
            <w:tcW w:type="dxa" w:w="2436"/>
          </w:tcPr>
          <w:p>
            <w:r>
              <w:rPr>
                <w:sz w:val="19"/>
              </w:rPr>
              <w:t>Buffer latency</w:t>
            </w:r>
          </w:p>
        </w:tc>
        <w:tc>
          <w:tcPr>
            <w:tcW w:type="dxa" w:w="2436"/>
          </w:tcPr>
          <w:p>
            <w:r>
              <w:rPr>
                <w:sz w:val="19"/>
              </w:rPr>
              <w:t>0 (structural — streams per chunk)</w:t>
            </w:r>
          </w:p>
        </w:tc>
        <w:tc>
          <w:tcPr>
            <w:tcW w:type="dxa" w:w="2436"/>
          </w:tcPr>
          <w:p>
            <w:r>
              <w:rPr>
                <w:sz w:val="19"/>
              </w:rPr>
              <w:t>= utterance duration: live 3.15 s [2.44, 3.86] ≈ audio 3.16 s; offline 15.56 s (N = 50)</w:t>
            </w:r>
          </w:p>
        </w:tc>
        <w:tc>
          <w:tcPr>
            <w:tcW w:type="dxa" w:w="2436"/>
          </w:tcPr>
          <w:p>
            <w:r>
              <w:rPr>
                <w:sz w:val="19"/>
              </w:rPr>
              <w:t>= utterance duration: 15.56 s (N = 50)</w:t>
            </w:r>
          </w:p>
        </w:tc>
      </w:tr>
      <w:tr>
        <w:tc>
          <w:tcPr>
            <w:tcW w:type="dxa" w:w="2436"/>
          </w:tcPr>
          <w:p>
            <w:r>
              <w:rPr>
                <w:sz w:val="19"/>
              </w:rPr>
              <w:t>Compute</w:t>
            </w:r>
          </w:p>
        </w:tc>
        <w:tc>
          <w:tcPr>
            <w:tcW w:type="dxa" w:w="2436"/>
          </w:tcPr>
          <w:p>
            <w:r>
              <w:rPr>
                <w:sz w:val="19"/>
              </w:rPr>
              <w:t>table lookup, 0.8 µs/frame</w:t>
            </w:r>
          </w:p>
        </w:tc>
        <w:tc>
          <w:tcPr>
            <w:tcW w:type="dxa" w:w="2436"/>
          </w:tcPr>
          <w:p>
            <w:r>
              <w:rPr>
                <w:sz w:val="19"/>
              </w:rPr>
              <w:t>326 M-param forward pass: CPU 1.77 s live [1.05, 2.49] / 5.68 s offline [5.25, 6.13]</w:t>
            </w:r>
          </w:p>
        </w:tc>
        <w:tc>
          <w:tcPr>
            <w:tcW w:type="dxa" w:w="2436"/>
          </w:tcPr>
          <w:p>
            <w:r>
              <w:rPr>
                <w:sz w:val="19"/>
              </w:rPr>
              <w:t>forced alignment: 2.05 s/utt (batch-amortized, CPU)</w:t>
            </w:r>
          </w:p>
        </w:tc>
      </w:tr>
      <w:tr>
        <w:tc>
          <w:tcPr>
            <w:tcW w:type="dxa" w:w="2436"/>
          </w:tcPr>
          <w:p>
            <w:r>
              <w:rPr>
                <w:sz w:val="19"/>
              </w:rPr>
              <w:t>Transport</w:t>
            </w:r>
          </w:p>
        </w:tc>
        <w:tc>
          <w:tcPr>
            <w:tcW w:type="dxa" w:w="2436"/>
          </w:tcPr>
          <w:p>
            <w:r>
              <w:rPr>
                <w:sz w:val="19"/>
              </w:rPr>
              <w:t>text→render 20.7 ms [20.4, 20.9]</w:t>
            </w:r>
          </w:p>
        </w:tc>
        <w:tc>
          <w:tcPr>
            <w:tcW w:type="dxa" w:w="2436"/>
          </w:tcPr>
          <w:p>
            <w:r>
              <w:rPr>
                <w:sz w:val="19"/>
              </w:rPr>
              <w:t>HTTP round-trip 63 ms [59, 68]</w:t>
            </w:r>
          </w:p>
        </w:tc>
        <w:tc>
          <w:tcPr>
            <w:tcW w:type="dxa" w:w="2436"/>
          </w:tcPr>
          <w:p>
            <w:r>
              <w:rPr>
                <w:sz w:val="19"/>
              </w:rPr>
              <w:t>n/a (offline file)</w:t>
            </w:r>
          </w:p>
        </w:tc>
      </w:tr>
      <w:tr>
        <w:tc>
          <w:tcPr>
            <w:tcW w:type="dxa" w:w="2436"/>
          </w:tcPr>
          <w:p>
            <w:r>
              <w:rPr>
                <w:sz w:val="19"/>
              </w:rPr>
              <w:t>Mouth-vs-audio onset</w:t>
            </w:r>
          </w:p>
        </w:tc>
        <w:tc>
          <w:tcPr>
            <w:tcW w:type="dxa" w:w="2436"/>
          </w:tcPr>
          <w:p>
            <w:r>
              <w:rPr>
                <w:sz w:val="19"/>
              </w:rPr>
              <w:t xml:space="preserve">mouth ready 349 ms [321, 380] </w:t>
            </w:r>
            <w:r>
              <w:rPr>
                <w:i/>
                <w:sz w:val="19"/>
              </w:rPr>
              <w:t>before</w:t>
            </w:r>
            <w:r>
              <w:rPr>
                <w:sz w:val="19"/>
              </w:rPr>
              <w:t xml:space="preserve"> audio</w:t>
            </w:r>
          </w:p>
        </w:tc>
        <w:tc>
          <w:tcPr>
            <w:tcW w:type="dxa" w:w="2436"/>
          </w:tcPr>
          <w:p>
            <w:r>
              <w:rPr>
                <w:sz w:val="19"/>
              </w:rPr>
              <w:t xml:space="preserve">21.30 s [19.70, 22.91] </w:t>
            </w:r>
            <w:r>
              <w:rPr>
                <w:i/>
                <w:sz w:val="19"/>
              </w:rPr>
              <w:t>after</w:t>
            </w:r>
            <w:r>
              <w:rPr>
                <w:sz w:val="19"/>
              </w:rPr>
              <w:t xml:space="preserve"> audio (offline, N = 50)</w:t>
            </w:r>
          </w:p>
        </w:tc>
        <w:tc>
          <w:tcPr>
            <w:tcW w:type="dxa" w:w="2436"/>
          </w:tcPr>
          <w:p>
            <w:r>
              <w:rPr>
                <w:sz w:val="19"/>
              </w:rPr>
              <w:t xml:space="preserve">≈ 17.6 s </w:t>
            </w:r>
            <w:r>
              <w:rPr>
                <w:i/>
                <w:sz w:val="19"/>
              </w:rPr>
              <w:t>after</w:t>
            </w:r>
            <w:r>
              <w:rPr>
                <w:sz w:val="19"/>
              </w:rPr>
              <w:t xml:space="preserve"> audio (N = 50)</w:t>
            </w:r>
          </w:p>
        </w:tc>
      </w:tr>
    </w:tbl>
    <w:p/>
    <w:p>
      <w:pPr>
        <w:jc w:val="both"/>
      </w:pPr>
      <w:r>
        <w:rPr>
          <w:sz w:val="21"/>
        </w:rPr>
        <w:t xml:space="preserve">Three findings stand out. </w:t>
      </w:r>
      <w:r>
        <w:rPr>
          <w:b/>
          <w:sz w:val="21"/>
        </w:rPr>
        <w:t>First, the streaming engine adds no perceptible latency — the mouth is ready before the audio.</w:t>
      </w:r>
      <w:r>
        <w:rPr>
          <w:sz w:val="21"/>
        </w:rPr>
        <w:t xml:space="preserve"> Because the deployed engine drives visemes from the output transcription stream, the mouth-driving text arrives a mean 349 ms </w:t>
      </w:r>
      <w:r>
        <w:rPr>
          <w:i/>
          <w:sz w:val="21"/>
        </w:rPr>
        <w:t>ahead</w:t>
      </w:r>
      <w:r>
        <w:rPr>
          <w:sz w:val="21"/>
        </w:rPr>
        <w:t xml:space="preserve"> of the corresponding audio, and rendering it costs only 20.7 ms (text→first-frame); the mouth pose is therefore available before its audio plays, so the engine has negative added latency by construction rather than racing the audio. </w:t>
      </w:r>
      <w:r>
        <w:rPr>
          <w:b/>
          <w:sz w:val="21"/>
        </w:rPr>
        <w:t>Second, the buffered learned model pays a latency that the offline estimate predicted and the live run confirms.</w:t>
      </w:r>
      <w:r>
        <w:rPr>
          <w:sz w:val="21"/>
        </w:rPr>
        <w:t xml:space="preserve"> A non-streaming audio-driven model cannot emit a frame until the utterance is complete, so its buffer latency equals the utterance duration — confirmed live (3.15 s measured vs. 3.16 s audio), and reaching 15.56 s on the longer evaluation utterances — on top of a 326 M-parameter forward pass (5.68 s on this CPU). </w:t>
      </w:r>
      <w:r>
        <w:rPr>
          <w:b/>
          <w:sz w:val="21"/>
        </w:rPr>
        <w:t>Third, and decisively, the quality oracle is itself non-causal and offline.</w:t>
      </w:r>
      <w:r>
        <w:rPr>
          <w:sz w:val="21"/>
        </w:rPr>
        <w:t xml:space="preserve"> MFA — which by construction produces the lowest-error alignment and serves as the LVD reference of Section V-C — must consume the complete utterance </w:t>
      </w:r>
      <w:r>
        <w:rPr>
          <w:i/>
          <w:sz w:val="21"/>
        </w:rPr>
        <w:t>and</w:t>
      </w:r>
      <w:r>
        <w:rPr>
          <w:sz w:val="21"/>
        </w:rPr>
        <w:t xml:space="preserve"> its transcript before emitting a single boundary, so it incurs the same utterance-length buffer (15.56 s) plus 2.05 s of alignment compute, ≈ 17.6 s of added latency. Notably its compute is </w:t>
      </w:r>
      <w:r>
        <w:rPr>
          <w:i/>
          <w:sz w:val="21"/>
        </w:rPr>
        <w:t>faster</w:t>
      </w:r>
      <w:r>
        <w:rPr>
          <w:sz w:val="21"/>
        </w:rPr>
        <w:t xml:space="preserve"> than HuBERT's, yet it remains unusable in real time: the disqualifier is non-causality (the buffer), not raw speed. Together these place the three engines on a latency × alignment plane: MFA at highest fidelity but ≈ 17.6 s offline, HuBERT learned but ≈ 21 s on CPU, and the streaming engine at the causal, zero-added-latency frontier with the lowest LVD among causal conditions (0.461, Section V-C). The inference/compute terms are device-dependent (a GPU would cut HuBERT's by one to two orders of magnitude [36]), but the buffer term is </w:t>
      </w:r>
      <w:r>
        <w:rPr>
          <w:i/>
          <w:sz w:val="21"/>
        </w:rPr>
        <w:t>architectural and irreducible</w:t>
      </w:r>
      <w:r>
        <w:rPr>
          <w:sz w:val="21"/>
        </w:rPr>
        <w:t xml:space="preserve"> for any non-causal method: even with instantaneous compute, both baselines would still trail the audio by the full utterance duration. This is the latency wall that motivates a streaming, phoneme-timing-free design for a CPU-budget desktop assistant, and complements the language-asymmetry finding above. Open-source CPU viseme baselines (e.g., Rhubarb Lip Sync) and GPU-class learned models (Audio2Face, Wav2Lip) would further populate the plane but require additional toolchains or accelerators beyond the present single-CPU, single-vendor setup; we leave them to future work. The full LLM-inclusive voice-to-voice pipeline (T₀–T₃, including Gemini's own generation latency) likewise remains a separate open measurement (Section VI-B).</w:t>
      </w:r>
    </w:p>
    <w:p>
      <w:pPr>
        <w:spacing w:before="200"/>
      </w:pPr>
      <w:r>
        <w:rPr>
          <w:b/>
          <w:color w:val="2E74B5"/>
          <w:sz w:val="22"/>
        </w:rPr>
        <w:t>F. Auxiliary Validation: Learned Audio-to-Blendshape Regression on Video-Measured Ground Truth</w:t>
      </w:r>
    </w:p>
    <w:p>
      <w:pPr>
        <w:jc w:val="both"/>
      </w:pPr>
      <w:r>
        <w:rPr>
          <w:sz w:val="21"/>
        </w:rPr>
        <w:t>TranscriptionSync (Sections IV-B–IV-D) is training-free by design. To independently validate the 14-channel ARKit target representation used throughout this paper, and to probe whether a future learned Layer-3 alternative would be architecturally informed by the same design choices, we trained lightweight reference regression models that map log-mel audio directly to the 14-channel ARKit blendshape stream at 60 fps on the GRID corpus (speaker-disjoint split, s1–s28 train / s29–s34 val).</w:t>
      </w:r>
    </w:p>
    <w:p>
      <w:pPr>
        <w:jc w:val="center"/>
      </w:pPr>
      <w:r>
        <w:drawing>
          <wp:inline xmlns:a="http://schemas.openxmlformats.org/drawingml/2006/main" xmlns:pic="http://schemas.openxmlformats.org/drawingml/2006/picture">
            <wp:extent cx="5486400" cy="3531344"/>
            <wp:docPr id="6" name="Picture 6"/>
            <wp:cNvGraphicFramePr>
              <a:graphicFrameLocks noChangeAspect="1"/>
            </wp:cNvGraphicFramePr>
            <a:graphic>
              <a:graphicData uri="http://schemas.openxmlformats.org/drawingml/2006/picture">
                <pic:pic>
                  <pic:nvPicPr>
                    <pic:cNvPr id="0" name="fig5_aux_architectures.png"/>
                    <pic:cNvPicPr/>
                  </pic:nvPicPr>
                  <pic:blipFill>
                    <a:blip r:embed="rId14"/>
                    <a:stretch>
                      <a:fillRect/>
                    </a:stretch>
                  </pic:blipFill>
                  <pic:spPr>
                    <a:xfrm>
                      <a:off x="0" y="0"/>
                      <a:ext cx="5486400" cy="3531344"/>
                    </a:xfrm>
                    <a:prstGeom prst="rect"/>
                  </pic:spPr>
                </pic:pic>
              </a:graphicData>
            </a:graphic>
          </wp:inline>
        </w:drawing>
      </w:r>
    </w:p>
    <w:p>
      <w:pPr>
        <w:jc w:val="both"/>
      </w:pPr>
      <w:r>
        <w:rPr>
          <w:b/>
          <w:sz w:val="21"/>
        </w:rPr>
        <w:t>FIGURE 6.</w:t>
      </w:r>
      <w:r>
        <w:rPr>
          <w:sz w:val="21"/>
        </w:rPr>
        <w:t xml:space="preserve"> The two reference regression architectures evaluated in Section V-F. Both consume the same 80-channel log-mel input at 60 fps and emit a 14-channel ARKit blendshape stream b̂(t) ∈ [0,1]^14 via a sigmoid output head. Architecture A is causal (a token at time t attends only to t' ≤ t) and is therefore deployable in a streaming setting; Architecture B is a non-causal bidirectional baseline that requires the full utterance before producing any output.</w:t>
      </w:r>
    </w:p>
    <w:p>
      <w:pPr>
        <w:jc w:val="both"/>
      </w:pPr>
      <w:r>
        <w:rPr>
          <w:sz w:val="21"/>
        </w:rPr>
        <w:t>Both architectures (Figure 6) consume the 80-channel log-mel sequence X = (x_1, …, x_T), x_t ∈ ℝ^80 (Section V-F input features, identical to TranscriptionSync's acoustic front end) and emit b̂(t) ∈ [0,1]^14 at 60 fps.</w:t>
      </w:r>
    </w:p>
    <w:p>
      <w:pPr>
        <w:jc w:val="both"/>
      </w:pPr>
      <w:r>
        <w:rPr>
          <w:b/>
          <w:sz w:val="21"/>
        </w:rPr>
        <w:t>Architecture A (causal Transformer, 1.21 M parameters).</w:t>
      </w:r>
      <w:r>
        <w:rPr>
          <w:sz w:val="21"/>
        </w:rPr>
        <w:t xml:space="preserve"> Each frame is linearly projected to model width d = 192 and combined with a fixed sinusoidal positional encoding p_t:</w:t>
      </w:r>
    </w:p>
    <w:p>
      <w:pPr>
        <w:jc w:val="center"/>
      </w:pPr>
      <w:r>
        <w:rPr>
          <w:i/>
          <w:sz w:val="21"/>
        </w:rPr>
        <w:t>h_t^(0) = W_proj · x_t + p_t,  (8)</w:t>
      </w:r>
    </w:p>
    <w:p>
      <w:pPr>
        <w:jc w:val="both"/>
      </w:pPr>
      <w:r>
        <w:rPr>
          <w:sz w:val="21"/>
        </w:rPr>
        <w:t>followed by 4 stacked Transformer encoder layers (4 attention heads, feed-forward width 384, pre-norm) under a strict causal attention mask M, where M_{t,t'} = −∞ for t' &gt; t and 0 otherwise, so that h_t^(l) depends only on x_1, …, x_t:</w:t>
      </w:r>
    </w:p>
    <w:p>
      <w:pPr>
        <w:jc w:val="center"/>
      </w:pPr>
      <w:r>
        <w:rPr>
          <w:i/>
          <w:sz w:val="21"/>
        </w:rPr>
        <w:t>h^(l) = TransformerLayer( h^(l−1) ; M ),  l = 1, …, 4,  (9)</w:t>
      </w:r>
    </w:p>
    <w:p>
      <w:pPr>
        <w:jc w:val="both"/>
      </w:pPr>
      <w:r>
        <w:rPr>
          <w:sz w:val="21"/>
        </w:rPr>
        <w:t>and a linear-sigmoid head reads out the blendshape vector at each frame, b̂(t) = σ(W_out · h_t^(4) + b_out).</w:t>
      </w:r>
    </w:p>
    <w:p>
      <w:pPr>
        <w:jc w:val="both"/>
      </w:pPr>
      <w:r>
        <w:rPr>
          <w:b/>
          <w:sz w:val="21"/>
        </w:rPr>
        <w:t>Architecture B (BiLSTM, 1.39 M parameters).</w:t>
      </w:r>
      <w:r>
        <w:rPr>
          <w:sz w:val="21"/>
        </w:rPr>
        <w:t xml:space="preserve"> A 2-layer bidirectional LSTM with hidden size 192 produces, at each frame, the concatenation of the forward and backward hidden states,</w:t>
      </w:r>
    </w:p>
    <w:p>
      <w:pPr>
        <w:jc w:val="center"/>
      </w:pPr>
      <w:r>
        <w:rPr>
          <w:i/>
          <w:sz w:val="21"/>
        </w:rPr>
        <w:t>h_t = [ h_t^→(2) ‖ h_t^←(2) ] ∈ ℝ^384,  (10)</w:t>
      </w:r>
    </w:p>
    <w:p>
      <w:pPr>
        <w:jc w:val="both"/>
      </w:pPr>
      <w:r>
        <w:rPr>
          <w:sz w:val="21"/>
        </w:rPr>
        <w:t xml:space="preserve">where h_t^← depends on the </w:t>
      </w:r>
      <w:r>
        <w:rPr>
          <w:i/>
          <w:sz w:val="21"/>
        </w:rPr>
        <w:t>entire</w:t>
      </w:r>
      <w:r>
        <w:rPr>
          <w:sz w:val="21"/>
        </w:rPr>
        <w:t xml:space="preserve"> utterance x_{t+1}, …, x_T, making this architecture non-causal; a two-layer ReLU head then maps h_t to the blendshape vector, b̂(t) = σ(W₂ · ReLU(W₁ · h_t + b₁) + b₂).</w:t>
      </w:r>
    </w:p>
    <w:p>
      <w:pPr>
        <w:jc w:val="both"/>
      </w:pPr>
      <w:r>
        <w:rPr>
          <w:b/>
          <w:sz w:val="21"/>
        </w:rPr>
        <w:t>Training objective.</w:t>
      </w:r>
      <w:r>
        <w:rPr>
          <w:sz w:val="21"/>
        </w:rPr>
        <w:t xml:space="preserve"> Both architectures are trained with an identical masked loss combining a frame-wise reconstruction term and a first-difference (velocity) term that penalizes mismatched articulation dynamics:</w:t>
      </w:r>
    </w:p>
    <w:p>
      <w:pPr>
        <w:jc w:val="center"/>
      </w:pPr>
      <w:r>
        <w:rPr>
          <w:i/>
          <w:sz w:val="21"/>
        </w:rPr>
        <w:t>ℒ = ℒ_mse + w_vel · ℒ_vel,  ℒ_mse = (1 / (N·M)) Σ_{t=1..N} Σ_{k=1..M} ( b̂_k(t) − b_k(t) )²,  (11)</w:t>
      </w:r>
    </w:p>
    <w:p>
      <w:pPr>
        <w:jc w:val="center"/>
      </w:pPr>
      <w:r>
        <w:rPr>
          <w:i/>
          <w:sz w:val="21"/>
        </w:rPr>
        <w:t>ℒ_vel = (1 / (N'·M)) Σ_{t=1..N−1} Σ_{k=1..M} ( [b̂_k(t+1) − b̂_k(t)] − [b_k(t+1) − b_k(t)] )²,  (12)</w:t>
      </w:r>
    </w:p>
    <w:p>
      <w:pPr>
        <w:jc w:val="both"/>
      </w:pPr>
      <w:r>
        <w:rPr>
          <w:sz w:val="21"/>
        </w:rPr>
        <w:t>with M = 14, w_vel = 0.5, and N, N′ the number of valid (non-padding) frames and frame-pairs in a batch; both architectures are optimized with AdamW (cosine learning-rate schedule, gradient-norm clipping at 1.0) to convergence with early stopping on validation MSE. Eqs. (8)–(10) differ only in how h_t aggregates temporal context (causal self-attention vs. bidirectional recurrence); Eqs. (11)–(12) are shared, so the comparison below isolates the effect of the temporal-context mechanism on regression quality.</w:t>
      </w:r>
    </w:p>
    <w:p>
      <w:pPr>
        <w:jc w:val="both"/>
      </w:pPr>
      <w:r>
        <w:rPr>
          <w:sz w:val="21"/>
        </w:rPr>
        <w:t xml:space="preserve">Two ground-truth sources were compared on the identical split: (i) the </w:t>
      </w:r>
      <w:r>
        <w:rPr>
          <w:b/>
          <w:sz w:val="21"/>
        </w:rPr>
        <w:t>rule-derived</w:t>
      </w:r>
      <w:r>
        <w:rPr>
          <w:sz w:val="21"/>
        </w:rPr>
        <w:t xml:space="preserve"> labels obtained via the viseme→ARKit mapping used for the Layer-2 validation (Section V-D), and (ii) </w:t>
      </w:r>
      <w:r>
        <w:rPr>
          <w:b/>
          <w:sz w:val="21"/>
        </w:rPr>
        <w:t>video-measured</w:t>
      </w:r>
      <w:r>
        <w:rPr>
          <w:sz w:val="21"/>
        </w:rPr>
        <w:t xml:space="preserve"> labels obtained by running the MediaPipe FaceLandmarker pipeline [32] frame-by-frame on the GRID video recordings and resampling the 14 ARKit blendshape scores to 60 fps (32 980 utterances retained, mean face-detection rate &gt; 99.8%). For each ground-truth source we trained two compact architectures — a causal Transformer encoder (1.21 M parameters) and a BiLSTM (1.39 M parameters) — to convergence with early stopping.</w:t>
      </w:r>
    </w:p>
    <w:p>
      <w:pPr>
        <w:jc w:val="both"/>
      </w:pPr>
      <w:r>
        <w:rPr>
          <w:b/>
          <w:sz w:val="21"/>
        </w:rPr>
        <w:t>TABLE 7.</w:t>
      </w:r>
      <w:r>
        <w:rPr>
          <w:sz w:val="21"/>
        </w:rPr>
        <w:t xml:space="preserve"> Audio-to-blendshape regression, held-out speakers (s29–s34), by ground-truth source and architecture.</w:t>
      </w:r>
    </w:p>
    <w:tbl>
      <w:tblPr>
        <w:tblStyle w:val="TableGrid"/>
        <w:jc w:val="center"/>
        <w:tblLook w:firstColumn="1" w:firstRow="1" w:lastColumn="0" w:lastRow="0" w:noHBand="0" w:noVBand="1" w:val="04A0"/>
        <w:tblW w:type="pct" w:w="5000"/>
        <w:tblLayout w:type="autofit"/>
      </w:tblPr>
      <w:tblGrid>
        <w:gridCol w:w="1218"/>
        <w:gridCol w:w="1218"/>
        <w:gridCol w:w="1218"/>
        <w:gridCol w:w="1218"/>
        <w:gridCol w:w="1218"/>
        <w:gridCol w:w="1218"/>
        <w:gridCol w:w="1218"/>
        <w:gridCol w:w="1218"/>
      </w:tblGrid>
      <w:tr>
        <w:tc>
          <w:tcPr>
            <w:tcW w:type="dxa" w:w="1218"/>
            <w:shd w:val="clear" w:fill="BDD7EE"/>
          </w:tcPr>
          <w:p>
            <w:r>
              <w:rPr>
                <w:b/>
                <w:sz w:val="19"/>
              </w:rPr>
              <w:t>GT source</w:t>
            </w:r>
          </w:p>
        </w:tc>
        <w:tc>
          <w:tcPr>
            <w:tcW w:type="dxa" w:w="1218"/>
            <w:shd w:val="clear" w:fill="BDD7EE"/>
          </w:tcPr>
          <w:p>
            <w:r>
              <w:rPr>
                <w:b/>
                <w:sz w:val="19"/>
              </w:rPr>
              <w:t>Arch</w:t>
            </w:r>
          </w:p>
        </w:tc>
        <w:tc>
          <w:tcPr>
            <w:tcW w:type="dxa" w:w="1218"/>
            <w:shd w:val="clear" w:fill="BDD7EE"/>
          </w:tcPr>
          <w:p>
            <w:r>
              <w:rPr>
                <w:b/>
                <w:sz w:val="19"/>
              </w:rPr>
              <w:t>Val MSE</w:t>
            </w:r>
          </w:p>
        </w:tc>
        <w:tc>
          <w:tcPr>
            <w:tcW w:type="dxa" w:w="1218"/>
            <w:shd w:val="clear" w:fill="BDD7EE"/>
          </w:tcPr>
          <w:p>
            <w:r>
              <w:rPr>
                <w:b/>
                <w:sz w:val="19"/>
              </w:rPr>
              <w:t>Val MAE</w:t>
            </w:r>
          </w:p>
        </w:tc>
        <w:tc>
          <w:tcPr>
            <w:tcW w:type="dxa" w:w="1218"/>
            <w:shd w:val="clear" w:fill="BDD7EE"/>
          </w:tcPr>
          <w:p>
            <w:r>
              <w:rPr>
                <w:b/>
                <w:sz w:val="19"/>
              </w:rPr>
              <w:t>LVD μ</w:t>
            </w:r>
          </w:p>
        </w:tc>
        <w:tc>
          <w:tcPr>
            <w:tcW w:type="dxa" w:w="1218"/>
            <w:shd w:val="clear" w:fill="BDD7EE"/>
          </w:tcPr>
          <w:p>
            <w:r>
              <w:rPr>
                <w:b/>
                <w:sz w:val="19"/>
              </w:rPr>
              <w:t>LVD p95</w:t>
            </w:r>
          </w:p>
        </w:tc>
        <w:tc>
          <w:tcPr>
            <w:tcW w:type="dxa" w:w="1218"/>
            <w:shd w:val="clear" w:fill="BDD7EE"/>
          </w:tcPr>
          <w:p>
            <w:r>
              <w:rPr>
                <w:b/>
                <w:sz w:val="19"/>
              </w:rPr>
              <w:t>Lag (ms)</w:t>
            </w:r>
          </w:p>
        </w:tc>
        <w:tc>
          <w:tcPr>
            <w:tcW w:type="dxa" w:w="1218"/>
            <w:shd w:val="clear" w:fill="BDD7EE"/>
          </w:tcPr>
          <w:p>
            <w:r>
              <w:rPr>
                <w:b/>
                <w:sz w:val="19"/>
              </w:rPr>
              <w:t>Vel. ratio</w:t>
            </w:r>
          </w:p>
        </w:tc>
      </w:tr>
      <w:tr>
        <w:tc>
          <w:tcPr>
            <w:tcW w:type="dxa" w:w="1218"/>
          </w:tcPr>
          <w:p>
            <w:r>
              <w:rPr>
                <w:sz w:val="19"/>
              </w:rPr>
              <w:t>Rule-derived</w:t>
            </w:r>
          </w:p>
        </w:tc>
        <w:tc>
          <w:tcPr>
            <w:tcW w:type="dxa" w:w="1218"/>
          </w:tcPr>
          <w:p>
            <w:r>
              <w:rPr>
                <w:sz w:val="19"/>
              </w:rPr>
              <w:t>Transformer</w:t>
            </w:r>
          </w:p>
        </w:tc>
        <w:tc>
          <w:tcPr>
            <w:tcW w:type="dxa" w:w="1218"/>
          </w:tcPr>
          <w:p>
            <w:r>
              <w:rPr>
                <w:sz w:val="19"/>
              </w:rPr>
              <w:t>0.00751</w:t>
            </w:r>
          </w:p>
        </w:tc>
        <w:tc>
          <w:tcPr>
            <w:tcW w:type="dxa" w:w="1218"/>
          </w:tcPr>
          <w:p>
            <w:r>
              <w:rPr>
                <w:sz w:val="19"/>
              </w:rPr>
              <w:t>0.0460</w:t>
            </w:r>
          </w:p>
        </w:tc>
        <w:tc>
          <w:tcPr>
            <w:tcW w:type="dxa" w:w="1218"/>
          </w:tcPr>
          <w:p>
            <w:r>
              <w:rPr>
                <w:sz w:val="19"/>
              </w:rPr>
              <w:t>0.272</w:t>
            </w:r>
          </w:p>
        </w:tc>
        <w:tc>
          <w:tcPr>
            <w:tcW w:type="dxa" w:w="1218"/>
          </w:tcPr>
          <w:p>
            <w:r>
              <w:rPr>
                <w:sz w:val="19"/>
              </w:rPr>
              <w:t>0.603</w:t>
            </w:r>
          </w:p>
        </w:tc>
        <w:tc>
          <w:tcPr>
            <w:tcW w:type="dxa" w:w="1218"/>
          </w:tcPr>
          <w:p>
            <w:r>
              <w:rPr>
                <w:sz w:val="19"/>
              </w:rPr>
              <w:t>81 ± 137</w:t>
            </w:r>
          </w:p>
        </w:tc>
        <w:tc>
          <w:tcPr>
            <w:tcW w:type="dxa" w:w="1218"/>
          </w:tcPr>
          <w:p>
            <w:r>
              <w:rPr>
                <w:sz w:val="19"/>
              </w:rPr>
              <w:t>0.42</w:t>
            </w:r>
          </w:p>
        </w:tc>
      </w:tr>
      <w:tr>
        <w:tc>
          <w:tcPr>
            <w:tcW w:type="dxa" w:w="1218"/>
          </w:tcPr>
          <w:p>
            <w:r>
              <w:rPr>
                <w:sz w:val="19"/>
              </w:rPr>
              <w:t>Rule-derived</w:t>
            </w:r>
          </w:p>
        </w:tc>
        <w:tc>
          <w:tcPr>
            <w:tcW w:type="dxa" w:w="1218"/>
          </w:tcPr>
          <w:p>
            <w:r>
              <w:rPr>
                <w:sz w:val="19"/>
              </w:rPr>
              <w:t>BiLSTM</w:t>
            </w:r>
          </w:p>
        </w:tc>
        <w:tc>
          <w:tcPr>
            <w:tcW w:type="dxa" w:w="1218"/>
          </w:tcPr>
          <w:p>
            <w:r>
              <w:rPr>
                <w:sz w:val="19"/>
              </w:rPr>
              <w:t>0.00689</w:t>
            </w:r>
          </w:p>
        </w:tc>
        <w:tc>
          <w:tcPr>
            <w:tcW w:type="dxa" w:w="1218"/>
          </w:tcPr>
          <w:p>
            <w:r>
              <w:rPr>
                <w:sz w:val="19"/>
              </w:rPr>
              <w:t>0.0429</w:t>
            </w:r>
          </w:p>
        </w:tc>
        <w:tc>
          <w:tcPr>
            <w:tcW w:type="dxa" w:w="1218"/>
          </w:tcPr>
          <w:p>
            <w:r>
              <w:rPr>
                <w:sz w:val="19"/>
              </w:rPr>
              <w:t>0.257</w:t>
            </w:r>
          </w:p>
        </w:tc>
        <w:tc>
          <w:tcPr>
            <w:tcW w:type="dxa" w:w="1218"/>
          </w:tcPr>
          <w:p>
            <w:r>
              <w:rPr>
                <w:sz w:val="19"/>
              </w:rPr>
              <w:t>0.593</w:t>
            </w:r>
          </w:p>
        </w:tc>
        <w:tc>
          <w:tcPr>
            <w:tcW w:type="dxa" w:w="1218"/>
          </w:tcPr>
          <w:p>
            <w:r>
              <w:rPr>
                <w:sz w:val="19"/>
              </w:rPr>
              <w:t>73 ± 139</w:t>
            </w:r>
          </w:p>
        </w:tc>
        <w:tc>
          <w:tcPr>
            <w:tcW w:type="dxa" w:w="1218"/>
          </w:tcPr>
          <w:p>
            <w:r>
              <w:rPr>
                <w:sz w:val="19"/>
              </w:rPr>
              <w:t>0.43</w:t>
            </w:r>
          </w:p>
        </w:tc>
      </w:tr>
      <w:tr>
        <w:tc>
          <w:tcPr>
            <w:tcW w:type="dxa" w:w="1218"/>
          </w:tcPr>
          <w:p>
            <w:r>
              <w:rPr>
                <w:sz w:val="19"/>
              </w:rPr>
              <w:t>Video-measured</w:t>
            </w:r>
          </w:p>
        </w:tc>
        <w:tc>
          <w:tcPr>
            <w:tcW w:type="dxa" w:w="1218"/>
          </w:tcPr>
          <w:p>
            <w:r>
              <w:rPr>
                <w:sz w:val="19"/>
              </w:rPr>
              <w:t>Transformer</w:t>
            </w:r>
          </w:p>
        </w:tc>
        <w:tc>
          <w:tcPr>
            <w:tcW w:type="dxa" w:w="1218"/>
          </w:tcPr>
          <w:p>
            <w:r>
              <w:rPr>
                <w:sz w:val="19"/>
              </w:rPr>
              <w:t>0.01044</w:t>
            </w:r>
          </w:p>
        </w:tc>
        <w:tc>
          <w:tcPr>
            <w:tcW w:type="dxa" w:w="1218"/>
          </w:tcPr>
          <w:p>
            <w:r>
              <w:rPr>
                <w:sz w:val="19"/>
              </w:rPr>
              <w:t>0.0364</w:t>
            </w:r>
          </w:p>
        </w:tc>
        <w:tc>
          <w:tcPr>
            <w:tcW w:type="dxa" w:w="1218"/>
          </w:tcPr>
          <w:p>
            <w:r>
              <w:rPr>
                <w:sz w:val="19"/>
              </w:rPr>
              <w:t>0.297</w:t>
            </w:r>
          </w:p>
        </w:tc>
        <w:tc>
          <w:tcPr>
            <w:tcW w:type="dxa" w:w="1218"/>
          </w:tcPr>
          <w:p>
            <w:r>
              <w:rPr>
                <w:sz w:val="19"/>
              </w:rPr>
              <w:t>0.837</w:t>
            </w:r>
          </w:p>
        </w:tc>
        <w:tc>
          <w:tcPr>
            <w:tcW w:type="dxa" w:w="1218"/>
          </w:tcPr>
          <w:p>
            <w:r>
              <w:rPr>
                <w:sz w:val="19"/>
              </w:rPr>
              <w:t>83 ± 237</w:t>
            </w:r>
          </w:p>
        </w:tc>
        <w:tc>
          <w:tcPr>
            <w:tcW w:type="dxa" w:w="1218"/>
          </w:tcPr>
          <w:p>
            <w:r>
              <w:rPr>
                <w:b/>
                <w:sz w:val="19"/>
              </w:rPr>
              <w:t>0.51</w:t>
            </w:r>
          </w:p>
        </w:tc>
      </w:tr>
      <w:tr>
        <w:tc>
          <w:tcPr>
            <w:tcW w:type="dxa" w:w="1218"/>
          </w:tcPr>
          <w:p>
            <w:r>
              <w:rPr>
                <w:sz w:val="19"/>
              </w:rPr>
              <w:t>Video-measured</w:t>
            </w:r>
          </w:p>
        </w:tc>
        <w:tc>
          <w:tcPr>
            <w:tcW w:type="dxa" w:w="1218"/>
          </w:tcPr>
          <w:p>
            <w:r>
              <w:rPr>
                <w:sz w:val="19"/>
              </w:rPr>
              <w:t>BiLSTM</w:t>
            </w:r>
          </w:p>
        </w:tc>
        <w:tc>
          <w:tcPr>
            <w:tcW w:type="dxa" w:w="1218"/>
          </w:tcPr>
          <w:p>
            <w:r>
              <w:rPr>
                <w:sz w:val="19"/>
              </w:rPr>
              <w:t>0.01270</w:t>
            </w:r>
          </w:p>
        </w:tc>
        <w:tc>
          <w:tcPr>
            <w:tcW w:type="dxa" w:w="1218"/>
          </w:tcPr>
          <w:p>
            <w:r>
              <w:rPr>
                <w:sz w:val="19"/>
              </w:rPr>
              <w:t>0.0387</w:t>
            </w:r>
          </w:p>
        </w:tc>
        <w:tc>
          <w:tcPr>
            <w:tcW w:type="dxa" w:w="1218"/>
          </w:tcPr>
          <w:p>
            <w:r>
              <w:rPr>
                <w:sz w:val="19"/>
              </w:rPr>
              <w:t>0.328</w:t>
            </w:r>
          </w:p>
        </w:tc>
        <w:tc>
          <w:tcPr>
            <w:tcW w:type="dxa" w:w="1218"/>
          </w:tcPr>
          <w:p>
            <w:r>
              <w:rPr>
                <w:sz w:val="19"/>
              </w:rPr>
              <w:t>0.916</w:t>
            </w:r>
          </w:p>
        </w:tc>
        <w:tc>
          <w:tcPr>
            <w:tcW w:type="dxa" w:w="1218"/>
          </w:tcPr>
          <w:p>
            <w:r>
              <w:rPr>
                <w:sz w:val="19"/>
              </w:rPr>
              <w:t>−8 ± 236</w:t>
            </w:r>
          </w:p>
        </w:tc>
        <w:tc>
          <w:tcPr>
            <w:tcW w:type="dxa" w:w="1218"/>
          </w:tcPr>
          <w:p>
            <w:r>
              <w:rPr>
                <w:b/>
                <w:sz w:val="19"/>
              </w:rPr>
              <w:t>0.24</w:t>
            </w:r>
          </w:p>
        </w:tc>
      </w:tr>
    </w:tbl>
    <w:p/>
    <w:p>
      <w:pPr>
        <w:jc w:val="both"/>
      </w:pPr>
      <w:r>
        <w:rPr>
          <w:sz w:val="21"/>
        </w:rPr>
        <w:t xml:space="preserve">Figures 7–12 illustrate the rule-derived-label training runs (Architecture A = </w:t>
      </w:r>
      <w:r>
        <w:rPr>
          <w:rFonts w:ascii="Consolas" w:hAnsi="Consolas"/>
          <w:sz w:val="19"/>
        </w:rPr>
        <w:t>grid_runs</w:t>
      </w:r>
      <w:r>
        <w:rPr>
          <w:sz w:val="21"/>
        </w:rPr>
        <w:t xml:space="preserve">, Architecture B = </w:t>
      </w:r>
      <w:r>
        <w:rPr>
          <w:rFonts w:ascii="Consolas" w:hAnsi="Consolas"/>
          <w:sz w:val="19"/>
        </w:rPr>
        <w:t>grid_runs_lstm</w:t>
      </w:r>
      <w:r>
        <w:rPr>
          <w:sz w:val="21"/>
        </w:rPr>
        <w:t>) that produced the first two rows of Table 7.</w:t>
      </w:r>
    </w:p>
    <w:p>
      <w:pPr>
        <w:jc w:val="center"/>
      </w:pPr>
      <w:r>
        <w:drawing>
          <wp:inline xmlns:a="http://schemas.openxmlformats.org/drawingml/2006/main" xmlns:pic="http://schemas.openxmlformats.org/drawingml/2006/picture">
            <wp:extent cx="5486400" cy="3762103"/>
            <wp:docPr id="7" name="Picture 7"/>
            <wp:cNvGraphicFramePr>
              <a:graphicFrameLocks noChangeAspect="1"/>
            </wp:cNvGraphicFramePr>
            <a:graphic>
              <a:graphicData uri="http://schemas.openxmlformats.org/drawingml/2006/picture">
                <pic:pic>
                  <pic:nvPicPr>
                    <pic:cNvPr id="0" name="fig6_training_curves.png"/>
                    <pic:cNvPicPr/>
                  </pic:nvPicPr>
                  <pic:blipFill>
                    <a:blip r:embed="rId15"/>
                    <a:stretch>
                      <a:fillRect/>
                    </a:stretch>
                  </pic:blipFill>
                  <pic:spPr>
                    <a:xfrm>
                      <a:off x="0" y="0"/>
                      <a:ext cx="5486400" cy="3762103"/>
                    </a:xfrm>
                    <a:prstGeom prst="rect"/>
                  </pic:spPr>
                </pic:pic>
              </a:graphicData>
            </a:graphic>
          </wp:inline>
        </w:drawing>
      </w:r>
    </w:p>
    <w:p>
      <w:pPr>
        <w:jc w:val="both"/>
      </w:pPr>
      <w:r>
        <w:rPr>
          <w:b/>
          <w:sz w:val="21"/>
        </w:rPr>
        <w:t>FIGURE 7.</w:t>
      </w:r>
      <w:r>
        <w:rPr>
          <w:sz w:val="21"/>
        </w:rPr>
        <w:t xml:space="preserve"> Training and validation MSE vs. epoch for both architectures under rule-derived labels. Both models converge smoothly without overfitting (validation MSE tracks within a narrow band around 6×10⁻³ throughout training, while training MSE continues to decrease), and both are trained to a comparable point on the loss curve before early stopping, supporting the head-to-head comparison in Table 7. The BiLSTM's lower training-loss curve reflects its larger effective receptive field (full-utterance bidirectional context) rather than a validation-quality advantage — its validation curve sits on top of the Transformer's.</w:t>
      </w:r>
    </w:p>
    <w:p>
      <w:pPr>
        <w:jc w:val="center"/>
      </w:pPr>
      <w:r>
        <w:drawing>
          <wp:inline xmlns:a="http://schemas.openxmlformats.org/drawingml/2006/main" xmlns:pic="http://schemas.openxmlformats.org/drawingml/2006/picture">
            <wp:extent cx="5486400" cy="2037806"/>
            <wp:docPr id="8" name="Picture 8"/>
            <wp:cNvGraphicFramePr>
              <a:graphicFrameLocks noChangeAspect="1"/>
            </wp:cNvGraphicFramePr>
            <a:graphic>
              <a:graphicData uri="http://schemas.openxmlformats.org/drawingml/2006/picture">
                <pic:pic>
                  <pic:nvPicPr>
                    <pic:cNvPr id="0" name="fig7_channel_mae.png"/>
                    <pic:cNvPicPr/>
                  </pic:nvPicPr>
                  <pic:blipFill>
                    <a:blip r:embed="rId16"/>
                    <a:stretch>
                      <a:fillRect/>
                    </a:stretch>
                  </pic:blipFill>
                  <pic:spPr>
                    <a:xfrm>
                      <a:off x="0" y="0"/>
                      <a:ext cx="5486400" cy="2037806"/>
                    </a:xfrm>
                    <a:prstGeom prst="rect"/>
                  </pic:spPr>
                </pic:pic>
              </a:graphicData>
            </a:graphic>
          </wp:inline>
        </w:drawing>
      </w:r>
    </w:p>
    <w:p>
      <w:pPr>
        <w:jc w:val="both"/>
      </w:pPr>
      <w:r>
        <w:rPr>
          <w:b/>
          <w:sz w:val="21"/>
        </w:rPr>
        <w:t>FIGURE 8.</w:t>
      </w:r>
      <w:r>
        <w:rPr>
          <w:sz w:val="21"/>
        </w:rPr>
        <w:t xml:space="preserve"> Per-channel validation MAE (rule-derived labels) for all 14 ARKit blendshape targets. Error is concentrated in the channels with the largest dynamic range and articulatory variability — </w:t>
      </w:r>
      <w:r>
        <w:rPr>
          <w:rFonts w:ascii="Consolas" w:hAnsi="Consolas"/>
          <w:sz w:val="19"/>
        </w:rPr>
        <w:t>mouthStretchLeft</w:t>
      </w:r>
      <w:r>
        <w:rPr>
          <w:sz w:val="21"/>
        </w:rPr>
        <w:t>/</w:t>
      </w:r>
      <w:r>
        <w:rPr>
          <w:rFonts w:ascii="Consolas" w:hAnsi="Consolas"/>
          <w:sz w:val="19"/>
        </w:rPr>
        <w:t>mouthStretchRight</w:t>
      </w:r>
      <w:r>
        <w:rPr>
          <w:sz w:val="21"/>
        </w:rPr>
        <w:t xml:space="preserve"> (≈0.095–0.10) and </w:t>
      </w:r>
      <w:r>
        <w:rPr>
          <w:rFonts w:ascii="Consolas" w:hAnsi="Consolas"/>
          <w:sz w:val="19"/>
        </w:rPr>
        <w:t>jawOpen</w:t>
      </w:r>
      <w:r>
        <w:rPr>
          <w:sz w:val="21"/>
        </w:rPr>
        <w:t xml:space="preserve"> (≈0.075) — while channels that are near-constantly zero under the rule-derived mapping (</w:t>
      </w:r>
      <w:r>
        <w:rPr>
          <w:rFonts w:ascii="Consolas" w:hAnsi="Consolas"/>
          <w:sz w:val="19"/>
        </w:rPr>
        <w:t>mouthRollLower</w:t>
      </w:r>
      <w:r>
        <w:rPr>
          <w:sz w:val="21"/>
        </w:rPr>
        <w:t xml:space="preserve">, </w:t>
      </w:r>
      <w:r>
        <w:rPr>
          <w:rFonts w:ascii="Consolas" w:hAnsi="Consolas"/>
          <w:sz w:val="19"/>
        </w:rPr>
        <w:t>mouthDimpleLeft</w:t>
      </w:r>
      <w:r>
        <w:rPr>
          <w:sz w:val="21"/>
        </w:rPr>
        <w:t>/</w:t>
      </w:r>
      <w:r>
        <w:rPr>
          <w:rFonts w:ascii="Consolas" w:hAnsi="Consolas"/>
          <w:sz w:val="19"/>
        </w:rPr>
        <w:t>Right</w:t>
      </w:r>
      <w:r>
        <w:rPr>
          <w:sz w:val="21"/>
        </w:rPr>
        <w:t>) have near-zero MAE for both architectures. The BiLSTM is marginally more accurate on every channel, consistent with its lower aggregate Val MAE in Table 7 (0.0429 vs. 0.0460), but the per-channel gap is small and uniform — i.e., the BiLSTM does not selectively win on any particular articulatory class.</w:t>
      </w:r>
    </w:p>
    <w:p>
      <w:pPr>
        <w:jc w:val="center"/>
      </w:pPr>
      <w:r>
        <w:drawing>
          <wp:inline xmlns:a="http://schemas.openxmlformats.org/drawingml/2006/main" xmlns:pic="http://schemas.openxmlformats.org/drawingml/2006/picture">
            <wp:extent cx="5486400" cy="3289227"/>
            <wp:docPr id="9" name="Picture 9"/>
            <wp:cNvGraphicFramePr>
              <a:graphicFrameLocks noChangeAspect="1"/>
            </wp:cNvGraphicFramePr>
            <a:graphic>
              <a:graphicData uri="http://schemas.openxmlformats.org/drawingml/2006/picture">
                <pic:pic>
                  <pic:nvPicPr>
                    <pic:cNvPr id="0" name="fig8_trajectories_transformer.png"/>
                    <pic:cNvPicPr/>
                  </pic:nvPicPr>
                  <pic:blipFill>
                    <a:blip r:embed="rId17"/>
                    <a:stretch>
                      <a:fillRect/>
                    </a:stretch>
                  </pic:blipFill>
                  <pic:spPr>
                    <a:xfrm>
                      <a:off x="0" y="0"/>
                      <a:ext cx="5486400" cy="3289227"/>
                    </a:xfrm>
                    <a:prstGeom prst="rect"/>
                  </pic:spPr>
                </pic:pic>
              </a:graphicData>
            </a:graphic>
          </wp:inline>
        </w:drawing>
      </w:r>
    </w:p>
    <w:p>
      <w:pPr>
        <w:jc w:val="both"/>
      </w:pPr>
      <w:r>
        <w:rPr>
          <w:b/>
          <w:sz w:val="21"/>
        </w:rPr>
        <w:t>FIGURE 9.</w:t>
      </w:r>
      <w:r>
        <w:rPr>
          <w:sz w:val="21"/>
        </w:rPr>
        <w:t xml:space="preserve"> Predicted (red, dashed) vs. ground-truth (black) blendshape trajectories for three held-out utterances (rows) and four representative channels (columns: </w:t>
      </w:r>
      <w:r>
        <w:rPr>
          <w:rFonts w:ascii="Consolas" w:hAnsi="Consolas"/>
          <w:sz w:val="19"/>
        </w:rPr>
        <w:t>jawOpen</w:t>
      </w:r>
      <w:r>
        <w:rPr>
          <w:sz w:val="21"/>
        </w:rPr>
        <w:t xml:space="preserve">, </w:t>
      </w:r>
      <w:r>
        <w:rPr>
          <w:rFonts w:ascii="Consolas" w:hAnsi="Consolas"/>
          <w:sz w:val="19"/>
        </w:rPr>
        <w:t>mouthClose</w:t>
      </w:r>
      <w:r>
        <w:rPr>
          <w:sz w:val="21"/>
        </w:rPr>
        <w:t xml:space="preserve">, </w:t>
      </w:r>
      <w:r>
        <w:rPr>
          <w:rFonts w:ascii="Consolas" w:hAnsi="Consolas"/>
          <w:sz w:val="19"/>
        </w:rPr>
        <w:t>mouthPucker</w:t>
      </w:r>
      <w:r>
        <w:rPr>
          <w:sz w:val="21"/>
        </w:rPr>
        <w:t xml:space="preserve">, </w:t>
      </w:r>
      <w:r>
        <w:rPr>
          <w:rFonts w:ascii="Consolas" w:hAnsi="Consolas"/>
          <w:sz w:val="19"/>
        </w:rPr>
        <w:t>mouthStretchLeft</w:t>
      </w:r>
      <w:r>
        <w:rPr>
          <w:sz w:val="21"/>
        </w:rPr>
        <w:t>), Architecture A (causal Transformer). The model tracks the overall envelope and timing of articulatory events — peaks and closures occur at approximately the correct times — but systematically under-shoots peak amplitude on high-dynamic-range channels (</w:t>
      </w:r>
      <w:r>
        <w:rPr>
          <w:rFonts w:ascii="Consolas" w:hAnsi="Consolas"/>
          <w:sz w:val="19"/>
        </w:rPr>
        <w:t>jawOpen</w:t>
      </w:r>
      <w:r>
        <w:rPr>
          <w:sz w:val="21"/>
        </w:rPr>
        <w:t xml:space="preserve">, </w:t>
      </w:r>
      <w:r>
        <w:rPr>
          <w:rFonts w:ascii="Consolas" w:hAnsi="Consolas"/>
          <w:sz w:val="19"/>
        </w:rPr>
        <w:t>mouthStretchLeft</w:t>
      </w:r>
      <w:r>
        <w:rPr>
          <w:sz w:val="21"/>
        </w:rPr>
        <w:t>), consistent with the regression-to-the-mean behavior expected from an MSE-dominated loss on a 14-channel target.</w:t>
      </w:r>
    </w:p>
    <w:p>
      <w:pPr>
        <w:jc w:val="center"/>
      </w:pPr>
      <w:r>
        <w:drawing>
          <wp:inline xmlns:a="http://schemas.openxmlformats.org/drawingml/2006/main" xmlns:pic="http://schemas.openxmlformats.org/drawingml/2006/picture">
            <wp:extent cx="5486400" cy="3289227"/>
            <wp:docPr id="10" name="Picture 10"/>
            <wp:cNvGraphicFramePr>
              <a:graphicFrameLocks noChangeAspect="1"/>
            </wp:cNvGraphicFramePr>
            <a:graphic>
              <a:graphicData uri="http://schemas.openxmlformats.org/drawingml/2006/picture">
                <pic:pic>
                  <pic:nvPicPr>
                    <pic:cNvPr id="0" name="fig9_trajectories_lstm.png"/>
                    <pic:cNvPicPr/>
                  </pic:nvPicPr>
                  <pic:blipFill>
                    <a:blip r:embed="rId18"/>
                    <a:stretch>
                      <a:fillRect/>
                    </a:stretch>
                  </pic:blipFill>
                  <pic:spPr>
                    <a:xfrm>
                      <a:off x="0" y="0"/>
                      <a:ext cx="5486400" cy="3289227"/>
                    </a:xfrm>
                    <a:prstGeom prst="rect"/>
                  </pic:spPr>
                </pic:pic>
              </a:graphicData>
            </a:graphic>
          </wp:inline>
        </w:drawing>
      </w:r>
    </w:p>
    <w:p>
      <w:pPr>
        <w:jc w:val="both"/>
      </w:pPr>
      <w:r>
        <w:rPr>
          <w:b/>
          <w:sz w:val="21"/>
        </w:rPr>
        <w:t>FIGURE 10.</w:t>
      </w:r>
      <w:r>
        <w:rPr>
          <w:sz w:val="21"/>
        </w:rPr>
        <w:t xml:space="preserve"> Same utterances and channels as Figure 9, for Architecture B (BiLSTM). The qualitative pattern is nearly identical to Figure 9 — both architectures under-shoot the same amplitude peaks on the same utterances — confirming that, under rule-derived labels, the choice between causal-attention and bidirectional-recurrent context has little visible effect on trajectory shape; the architectures are distinguished only at the level of aggregate metrics (Table 7) and, more sharply, under video-measured ground truth (Section V-F discussion below).</w:t>
      </w:r>
    </w:p>
    <w:p>
      <w:pPr>
        <w:jc w:val="center"/>
      </w:pPr>
      <w:r>
        <w:drawing>
          <wp:inline xmlns:a="http://schemas.openxmlformats.org/drawingml/2006/main" xmlns:pic="http://schemas.openxmlformats.org/drawingml/2006/picture">
            <wp:extent cx="5486400" cy="3762103"/>
            <wp:docPr id="11" name="Picture 11"/>
            <wp:cNvGraphicFramePr>
              <a:graphicFrameLocks noChangeAspect="1"/>
            </wp:cNvGraphicFramePr>
            <a:graphic>
              <a:graphicData uri="http://schemas.openxmlformats.org/drawingml/2006/picture">
                <pic:pic>
                  <pic:nvPicPr>
                    <pic:cNvPr id="0" name="fig10_lvd_box.png"/>
                    <pic:cNvPicPr/>
                  </pic:nvPicPr>
                  <pic:blipFill>
                    <a:blip r:embed="rId19"/>
                    <a:stretch>
                      <a:fillRect/>
                    </a:stretch>
                  </pic:blipFill>
                  <pic:spPr>
                    <a:xfrm>
                      <a:off x="0" y="0"/>
                      <a:ext cx="5486400" cy="3762103"/>
                    </a:xfrm>
                    <a:prstGeom prst="rect"/>
                  </pic:spPr>
                </pic:pic>
              </a:graphicData>
            </a:graphic>
          </wp:inline>
        </w:drawing>
      </w:r>
    </w:p>
    <w:p>
      <w:pPr>
        <w:jc w:val="both"/>
      </w:pPr>
      <w:r>
        <w:rPr>
          <w:b/>
          <w:sz w:val="21"/>
        </w:rPr>
        <w:t>FIGURE 11.</w:t>
      </w:r>
      <w:r>
        <w:rPr>
          <w:sz w:val="21"/>
        </w:rPr>
        <w:t xml:space="preserve"> Distribution (box-and-whisker, validation set) of the per-frame L2 distance in 14-channel blendshape space between prediction and ground truth — an LVD-proxy computed directly on the regression targets, complementing the rendered-mesh LVD of Table 4/Figure 3. Medians are close (0.258 for the Transformer vs. 0.236 for the BiLSTM) and both distributions are right-skewed with comparable upper whiskers (≈0.75 and ≈0.72), i.e., neither architecture produces qualitatively different outlier behavior under rule-derived labels — consistent with the small, uniform per-channel MAE gap of Figure 8.</w:t>
      </w:r>
    </w:p>
    <w:p>
      <w:pPr>
        <w:jc w:val="center"/>
      </w:pPr>
      <w:r>
        <w:drawing>
          <wp:inline xmlns:a="http://schemas.openxmlformats.org/drawingml/2006/main" xmlns:pic="http://schemas.openxmlformats.org/drawingml/2006/picture">
            <wp:extent cx="5486400" cy="3762103"/>
            <wp:docPr id="12" name="Picture 12"/>
            <wp:cNvGraphicFramePr>
              <a:graphicFrameLocks noChangeAspect="1"/>
            </wp:cNvGraphicFramePr>
            <a:graphic>
              <a:graphicData uri="http://schemas.openxmlformats.org/drawingml/2006/picture">
                <pic:pic>
                  <pic:nvPicPr>
                    <pic:cNvPr id="0" name="fig11_lag_hist.png"/>
                    <pic:cNvPicPr/>
                  </pic:nvPicPr>
                  <pic:blipFill>
                    <a:blip r:embed="rId20"/>
                    <a:stretch>
                      <a:fillRect/>
                    </a:stretch>
                  </pic:blipFill>
                  <pic:spPr>
                    <a:xfrm>
                      <a:off x="0" y="0"/>
                      <a:ext cx="5486400" cy="3762103"/>
                    </a:xfrm>
                    <a:prstGeom prst="rect"/>
                  </pic:spPr>
                </pic:pic>
              </a:graphicData>
            </a:graphic>
          </wp:inline>
        </w:drawing>
      </w:r>
    </w:p>
    <w:p>
      <w:pPr>
        <w:jc w:val="both"/>
      </w:pPr>
      <w:r>
        <w:rPr>
          <w:b/>
          <w:sz w:val="21"/>
        </w:rPr>
        <w:t>FIGURE 12.</w:t>
      </w:r>
      <w:r>
        <w:rPr>
          <w:sz w:val="21"/>
        </w:rPr>
        <w:t xml:space="preserve"> Per-utterance temporal lag between predicted and ground-truth </w:t>
      </w:r>
      <w:r>
        <w:rPr>
          <w:rFonts w:ascii="Consolas" w:hAnsi="Consolas"/>
          <w:sz w:val="19"/>
        </w:rPr>
        <w:t>jawOpen</w:t>
      </w:r>
      <w:r>
        <w:rPr>
          <w:sz w:val="21"/>
        </w:rPr>
        <w:t xml:space="preserve"> trajectories, estimated by cross-correlation (positive lag = prediction lags the reference). Both architectures peak sharply at zero lag, confirming that neither model introduces a systematic timing offset under rule-derived labels (mean lag 81 ms for the Transformer vs. 73 ms for BiLSTM, matching the "Lag (ms)" column of Table 7's rule-derived rows); the long positive tail reflects a minority of utterances where the regression smooths through rapid consonant closures and only catches up on the following vowel onset. This near-equivalence under rule-derived labels is the baseline against which the video-measured-label divergence (83 ± 237 ms vs. −8 ± 236 ms, discussed below) stands out.</w:t>
      </w:r>
    </w:p>
    <w:p>
      <w:pPr>
        <w:jc w:val="both"/>
      </w:pPr>
      <w:r>
        <w:rPr>
          <w:sz w:val="21"/>
        </w:rPr>
        <w:t>Two findings emerge. First, video-measured ground truth yields lower mean absolute error but higher mean-squared error and p95 lip-vertex distance for both architectures (e.g., transformer LVD-p95 0.603 → 0.837, +39%). This is consistent with the rule-derived labels under-representing the true dynamic range of articulation: real speakers produce occasional high-amplitude mouth excursions (wide vowels, bilabial closures with overshoot) that the viseme→ARKit heuristic mapping smooths away, so a model trained against rule-derived labels never has to reproduce them and is correspondingly never penalized for missing them.</w:t>
      </w:r>
    </w:p>
    <w:p>
      <w:pPr>
        <w:jc w:val="both"/>
      </w:pPr>
      <w:r>
        <w:rPr>
          <w:sz w:val="21"/>
        </w:rPr>
        <w:t xml:space="preserve">Second, and more relevant to architectural choice, the </w:t>
      </w:r>
      <w:r>
        <w:rPr>
          <w:b/>
          <w:sz w:val="21"/>
        </w:rPr>
        <w:t>velocity ratio</w:t>
      </w:r>
      <w:r>
        <w:rPr>
          <w:sz w:val="21"/>
        </w:rPr>
        <w:t xml:space="preserve"> — the ratio of predicted to reference frame-to-frame motion magnitude, where 1.0 indicates dynamics matching the reference — diverges sharply by architecture under video-measured ground truth (Transformer 0.51 vs. BiLSTM 0.24) while the two architectures are nearly indistinguishable under rule-derived labels (0.42 vs. 0.43). In other words, the smoothed rule-derived labels do not expose a meaningful difference between architectures, but against a ground truth anchored in genuine human articulation, the BiLSTM collapses toward over-smoothed, low-velocity output (vel. ratio 0.24) while the causal Transformer retains substantially more of the reference dynamics (0.51). The lag distributions do not separate the two architectures — they are comparably wide (83 ± 237 ms vs. −8 ± 236 ms; the BiLSTM's near-zero </w:t>
      </w:r>
      <w:r>
        <w:rPr>
          <w:i/>
          <w:sz w:val="21"/>
        </w:rPr>
        <w:t>mean</w:t>
      </w:r>
      <w:r>
        <w:rPr>
          <w:sz w:val="21"/>
        </w:rPr>
        <w:t xml:space="preserve"> masks an essentially identical spread, so its lower mean reflects cancellation, not tighter locking) — so the velocity ratio is the discriminating signal here, and it favors causal-Transformer-style processing as the more faithful backbone for any future learned extension of TranscriptionSync's Layer 3.</w:t>
      </w:r>
    </w:p>
    <w:p>
      <w:pPr>
        <w:jc w:val="both"/>
      </w:pPr>
      <w:r>
        <w:rPr>
          <w:sz w:val="21"/>
        </w:rPr>
        <w:t>We emphasize that these regression models are reference baselines for representation validation only and are not part of the deployed, training-free TranscriptionSync pipeline; each configuration reflects a single training run (early-stopped on validation MSE) and is interpreted only at the level of the large, consistent cross-architecture gaps in Table 7, not as a tuned benchmark. Their role here is twofold: (i) they confirm that the video-measured 14-channel ARKit ground truth introduced in this work is a learnable, non-degenerate signal substantially distinct from the rule-derived approximation used in the Layer-2 sanity checks, and (ii) they provide independent, architecture-level evidence — obtained without any of TranscriptionSync's hand-designed co-articulation rules — that consistent with the literature [14], causal-attention models track real articulatory dynamics more faithfully than recurrent baselines at comparable parameter budgets.</w:t>
      </w:r>
    </w:p>
    <w:p>
      <w:pPr>
        <w:spacing w:before="280"/>
      </w:pPr>
      <w:r>
        <w:rPr>
          <w:b/>
          <w:color w:val="1F3564"/>
          <w:sz w:val="25"/>
        </w:rPr>
        <w:t>VI. DISCUSSION</w:t>
      </w:r>
    </w:p>
    <w:p>
      <w:pPr>
        <w:spacing w:before="200"/>
      </w:pPr>
      <w:r>
        <w:rPr>
          <w:b/>
          <w:color w:val="2E74B5"/>
          <w:sz w:val="22"/>
        </w:rPr>
        <w:t>A. Implications</w:t>
      </w:r>
    </w:p>
    <w:p>
      <w:pPr>
        <w:jc w:val="both"/>
      </w:pPr>
      <w:r>
        <w:rPr>
          <w:sz w:val="21"/>
        </w:rPr>
        <w:t xml:space="preserve">The results give partial support to the hypothesis that word-level timing — recoverable from the output audio of any speech-to-speech model by a lightweight streaming recognizer — carries enough information to move lip synchronization closer to oracle-level </w:t>
      </w:r>
      <w:r>
        <w:rPr>
          <w:i/>
          <w:sz w:val="21"/>
        </w:rPr>
        <w:t>geometric fidelity</w:t>
      </w:r>
      <w:r>
        <w:rPr>
          <w:sz w:val="21"/>
        </w:rPr>
        <w:t xml:space="preserve"> on a CPU budget: on lip vertex distance, TSYNC is geometrically closest to the MFA oracle among the causal conditions, with kernel co-articulation (Eq. (6)) rather than duration estimation (Eq. (4)) responsible for the gain. SyncNet's LSE-D/LSE-C, however, do not corroborate this ordering on the stylized VRM render (Section V-C), so the claim is one of geometric proximity (LVD) only: because lip-sync quality is ultimately perceptual and our sole perceptual metric proved invalid on this avatar, we make no claim of demonstrated perceptual-quality improvement, which awaits the user study of Section VI-C.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 Table 8 situates A.T.L.A.S against the dominant commercial voice assistants along the dimensions this collapse unlocks.</w:t>
      </w:r>
    </w:p>
    <w:p>
      <w:pPr>
        <w:jc w:val="both"/>
      </w:pPr>
      <w:r>
        <w:rPr>
          <w:b/>
          <w:sz w:val="21"/>
        </w:rPr>
        <w:t>TABLE 8.</w:t>
      </w:r>
      <w:r>
        <w:rPr>
          <w:sz w:val="21"/>
        </w:rPr>
        <w:t xml:space="preserve"> Feature comparison with commercial assistants.</w:t>
      </w:r>
    </w:p>
    <w:tbl>
      <w:tblPr>
        <w:tblStyle w:val="TableGrid"/>
        <w:jc w:val="center"/>
        <w:tblLook w:firstColumn="1" w:firstRow="1" w:lastColumn="0" w:lastRow="0" w:noHBand="0" w:noVBand="1" w:val="04A0"/>
        <w:tblW w:type="pct" w:w="5000"/>
        <w:tblLayout w:type="autofit"/>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objective evaluation of Section V-C raises a metric-validity question that remains open: SyncNet's LSE-D/LSE-C do not corroborate the LVD-based ordering on our stylized VRM render, and a data-driven validity check (Section V-C) shows SyncNet's LSE-D/LSE-C cannot separate articulatorily-empty jaw motion (AMP) from the forced-alignment oracle (MFA) — indeed rating empty motion statistically equal to the oracle and above all articulated methods — and carry a ≈70 ms offset bias even on construction-perfect synchronization, so they are invalid as quality measures on this untextured avatar; LVD against the MFA-oracle mesh is accordingly the trustworthy metric here, and a purpose-built or fine-tuned synchronization metric for parameterized avatars is an open need for the field. Relatedly, live word-timing measured on content-matched tokens (86 ms, Section V-C) is of the same order as the 65 ms composed accuracy on GRID (Section V-D), so the controlled-corpus result transfers to conversational deployment; the dominant component is a per-utterance constant speech-onset offset (median −65 ms) that the playout-buffer co-presentation absorbs, leaving a 64 ms within-utterance residual as the perceptually relevant error. Per-utterance onset/silence handling and pause-aware buffering would further tighten </w:t>
      </w:r>
      <w:r>
        <w:rPr>
          <w:i/>
          <w:sz w:val="21"/>
        </w:rPr>
        <w:t>absolute</w:t>
      </w:r>
      <w:r>
        <w:rPr>
          <w:sz w:val="21"/>
        </w:rPr>
        <w:t xml:space="preserve"> live timestamps, but timing is no longer a dominant error source. We note that this conclusion is sensitive to evaluation methodology: word-timing error must be scored over content-matched tokens, since pairing recognized and reference words by position inflates the apparent error by over an order of magnitude under conversational ASR insertions/deletions. We instrument the avatar-side added latency live (Section V-E, Table 9), confirming that the deployed streaming engine adds none (the mouth is ready ahead of the audio) while a buffered learned alternative incurs an utterance-length latency; but we have not yet instrumented the full voice-to-voice pipeline (T₀–T₃) including the LLM's own generation latency, which remains unmeasured under the actual Gemini Live integration. Second, the playout buffer Δ adds a fixed response-latency cost; for English, Δ ≈ 215 ms is small relative to natural turn-taking gaps, but latency-sensitive applications may prefer the zero-delay RATE fallback, and an adaptive Δ tracking the recognizer's recent lag distribution would tighten the cost. Third, ASR errors propagate to articulation; the phonetic-similarity argument suggests this is rarely noticed, but proper-noun-dense or noisy-channel speech may degrade further — an error-aware confidence gate (falling back to RATE below a confidence threshold) is a straightforward hardening. Fourth, the duration priors λ are language-dependent; the present fixed design constants were validated only on English (Section V-D), where their margin over uniform splitting was modest on GRID's short words — per-language fitting against aligned conversational corpora is a clear avenue for tightening Layer-2 timing, and coverage beyond English and Turkish requires it. Fifth, the SyncNet validity analysis above is specific to this avatar and metric; establishing or fine-tuning a synchronization metric that </w:t>
      </w:r>
      <w:r>
        <w:rPr>
          <w:i/>
          <w:sz w:val="21"/>
        </w:rPr>
        <w:t>is</w:t>
      </w:r>
      <w:r>
        <w:rPr>
          <w:sz w:val="21"/>
        </w:rPr>
        <w:t xml:space="preserve"> valid on parameterized/stylized avatars — so that perceptual sync can be scored directly rather than via the LVD geometric proxy — remains an open need for the field. Sixth, </w:t>
      </w:r>
      <w:r>
        <w:rPr>
          <w:b/>
          <w:sz w:val="21"/>
        </w:rPr>
        <w:t>Section V-E's central negative finding</w:t>
      </w:r>
      <w:r>
        <w:rPr>
          <w:sz w:val="21"/>
        </w:rPr>
        <w:t xml:space="preserve">: the smallest ("tiny", int8) multilingual Whisper checkpoint, while adequate for English (P95 emission lag 214 ms), is both far slower and unstable for Turkish (P95 = 4.9 s, with occasional multi-second decoding excursions on short utterances) — making Δ impractical for Turkish with this model. Production use for Turkish therefore requires either a larger/better-calibrated ASR model (at proportionally higher but still single-core CPU cost, not yet benchmarked) or the language-agnostic RATE fallback. Seventh, </w:t>
      </w:r>
      <w:r>
        <w:rPr>
          <w:b/>
          <w:sz w:val="21"/>
        </w:rPr>
        <w:t>Section V-D's accuracy finding</w:t>
      </w:r>
      <w:r>
        <w:rPr>
          <w:sz w:val="21"/>
        </w:rPr>
        <w:t>: composed phoneme timing with compact CPU recognizers (65 ms MAE) remains above the ±45 ms detectability bound, and the bottleneck is the recognizer's attention-derived word timestamps — which model scaling does not improve ("base" worsened start MAE despite lowering WER). Closing this gap requires better word-boundary estimation, not a larger recognizer; a lightweight streaming aligner (e.g., CTC-based boundary refinement over the same audio window) is the targeted remedy.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 xml:space="preserve">Planned extensions include: completing the live end-to-end latency instrumentation (T₀–T₃) under the deployed Gemini Live integration; benchmarking larger Whisper checkpoints (base/small) for Turkish Layer-1 emission lag to find a practical Δ; improving Layer-1 word-timestamp precision below the ±45 ms bound via lightweight streaming boundary refinement (CTC- or alignment-head-based), which Section V-D identifies as the composed-accuracy bottleneck;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perceptual user study (MOS and paired preference across AMP/RATE/TSYNC/MFA conditions), using established instruments such as the System Usability Scale [28], [31], the User Engagement Scale [29], and trust-in-automation measures [30], once the live pipeline is fully instrumented. A further direction concerns content governance: the word-level transcription trace already produced by Layer 1 for lip synchronization could be reused, at no additional recognition cost, as the input to a downstream content-safety classifier, enabling moderation of the model's spoken output without a separate transcription stage; we note, however, that because this trace is derived </w:t>
      </w:r>
      <w:r>
        <w:rPr>
          <w:i/>
          <w:sz w:val="21"/>
        </w:rPr>
        <w:t>from</w:t>
      </w:r>
      <w:r>
        <w:rPr>
          <w:sz w:val="21"/>
        </w:rPr>
        <w:t xml:space="preserve"> the output audio rather than ahead of it, such moderation is reactive rather than preventive, and turning it into a buffer-gated preventive guardrail (using the same playout buffer of Eq. (3)) without inflating live latency remains an open problem. Beyond the 2D/VRM screen rendering used here, emerging volumetric and light-field display technologies [34] represent a longer-term presentation medium for the same embodied-agent pipeline.</w:t>
      </w:r>
    </w:p>
    <w:p>
      <w:pPr>
        <w:spacing w:before="280"/>
      </w:pPr>
      <w:r>
        <w:rPr>
          <w:b/>
          <w:color w:val="1F3564"/>
          <w:sz w:val="25"/>
        </w:rPr>
        <w:t>VII. CONCLUSION</w:t>
      </w:r>
    </w:p>
    <w:p>
      <w:pPr>
        <w:jc w:val="both"/>
      </w:pPr>
      <w:r>
        <w:rPr>
          <w:sz w:val="21"/>
        </w:rPr>
        <w:t>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on 50 rendered live-system utterances shows TSYNC closest to the oracle on lip vertex distance — driven by co-articulation rather than duration estimation — while SyncNet LSE-D/LSE-C do not corroborate this ordering on the stylized avatar render, a metric-validity finding reported in Section V-C. This is combined with a layer-wise timing validation on 6 000 held-out GRID utterances (Section V-D), measured component-wise latency and CPU cost for all three TranscriptionSync layers (Section V-E), and an auxiliary GRID-based validation of the ARKit target representation (Section V-F). The layer-wise validation establishes that word-bounded duration estimation is accurate in isolation (18 ms phoneme-midpoint MAE against forced alignment, below the ±45 ms detectability bound) and that composed accuracy is bounded by the compact recognizer's word timestamps (65 ms), not by duration estimation. Layers 2-3 occupy under 0.3% of one CPU core with sub-millisecond latency; Layer 1 dominates the budget and is practical for English (Δ ≈ 215 ms) but reveals a language asymmetry that makes the smallest Whisper model impractical for Turkish (P95 emission lag 4.9 s), motivating the future work of Section VI-C.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(approximately 14 900 lines of Python and JavaScript), including the viseme table, study task scripts, and measurement instrumentation, is available from the authors upon reasonable request.</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G. Skantze, "Turn-taking in conversational systems and human-robot interaction: A review," </w:t>
      </w:r>
      <w:r>
        <w:rPr>
          <w:i/>
          <w:sz w:val="21"/>
        </w:rPr>
        <w:t>Comput. Speech Lang.</w:t>
      </w:r>
      <w:r>
        <w:rPr>
          <w:sz w:val="21"/>
        </w:rPr>
        <w:t>, vol. 67, p. 101178, 2021.</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[27] International Telecommunication Union, "Relative timing of sound and vision for broadcasting," ITU-R Recommendation BT.1359-1, 1998.</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Liu et al., "Livatar-1: Real-time talking heads generation with tailored flow matching," </w:t>
      </w:r>
      <w:r>
        <w:rPr>
          <w:i/>
          <w:sz w:val="21"/>
        </w:rPr>
        <w:t>arXiv:2507.18649</w:t>
      </w:r>
      <w:r>
        <w:rPr>
          <w:sz w:val="21"/>
        </w:rPr>
        <w:t>, 2025.</w:t>
      </w:r>
    </w:p>
    <w:p>
      <w:r>
        <w:rPr>
          <w:sz w:val="21"/>
        </w:rPr>
        <w:t xml:space="preserve">[37] C. Low and W. Wang, "TalkingMachines: Real-time audio-driven FaceTime-style video via autoregressive diffusion models," </w:t>
      </w:r>
      <w:r>
        <w:rPr>
          <w:i/>
          <w:sz w:val="21"/>
        </w:rPr>
        <w:t>arXiv:2506.03099</w:t>
      </w:r>
      <w:r>
        <w:rPr>
          <w:sz w:val="21"/>
        </w:rPr>
        <w:t>, 2025.</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