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9zyd1julm2p" w:id="0"/>
      <w:bookmarkEnd w:id="0"/>
      <w:r w:rsidDel="00000000" w:rsidR="00000000" w:rsidRPr="00000000">
        <w:rPr>
          <w:rFonts w:ascii="Arial Unicode MS" w:cs="Arial Unicode MS" w:eastAsia="Arial Unicode MS" w:hAnsi="Arial Unicode MS"/>
          <w:rtl w:val="0"/>
        </w:rPr>
        <w:t xml:space="preserve">부산 지역 컴퓨터·인공지능 관련 학과 현황 기초통계 분석 보고서</w:t>
      </w:r>
    </w:p>
    <w:p w:rsidR="00000000" w:rsidDel="00000000" w:rsidP="00000000" w:rsidRDefault="00000000" w:rsidRPr="00000000" w14:paraId="00000002">
      <w:pPr>
        <w:pStyle w:val="Heading4"/>
        <w:rPr/>
      </w:pPr>
      <w:bookmarkStart w:colFirst="0" w:colLast="0" w:name="_xpb88b1ppn48" w:id="1"/>
      <w:bookmarkEnd w:id="1"/>
      <w:r w:rsidDel="00000000" w:rsidR="00000000" w:rsidRPr="00000000">
        <w:rPr>
          <w:rFonts w:ascii="Arial Unicode MS" w:cs="Arial Unicode MS" w:eastAsia="Arial Unicode MS" w:hAnsi="Arial Unicode MS"/>
          <w:rtl w:val="0"/>
        </w:rPr>
        <w:t xml:space="preserve">1. 서론: 본 분석의 목적 및 데이터 개요</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4차 산업혁명과 인공지능(AI) 중심의 디지털 전환이 가속화됨에 따라, 지역 고등교육 기관의 IT 인재 양성 역량은 도시의 미래 경쟁력을 결정짓는 핵심 지표가 되었습니다. 특히 부산은 전통적인 제조 및 물류 산업의 고도화를 위해 양질의 소프트웨어 인력을 필요로 하고 있으며, 이를 위해 지역 내 교육 인프라의 공급 체계를 면밀히 분석하는 것은 정책적 전략 수립의 첫걸음입니다. 본 분석은 부산 지역 내 IT 및 컴퓨터 공학 관련 학과의 분포를 파악함으로써, 지역 산업 수요에 부응하는 교육 생태계의 현주소를 진단하고 향후 인재 양성 전략의 기초 자료를 제공하는 데 목적이 있습니다.본 보고서는 '학과-찾기.csv' 데이터 중 부산 지역 소재 15개 학과를 분석 대상으로 삼았습니다. 해당 데이터는 국립한국해양대학교, 부산대학교, 국립부경대학교 등 지역 거점 국립대학과 경성대학교, 동서대학교를 포함한 주요 사립대학의 학과 정보를 포함하고 있습니다. 데이터의 범위는 학과명, 설립 구분, 학교 종류, 소재지 상세 정보 및 표준분류체계를 망라하며, 이를 통해 부산 IT 교육 자산의 구조적 특성을 도출할 것입니다.데이터의 전반적인 성격을 정의한 후, 다음 섹션에서 학교의 설립 주체와 종류별 분포를 상세히 분석하여 교육 기관의 공적 책임과 시장 다양성을 평가해 보겠습니다.</w:t>
      </w:r>
    </w:p>
    <w:p w:rsidR="00000000" w:rsidDel="00000000" w:rsidP="00000000" w:rsidRDefault="00000000" w:rsidRPr="00000000" w14:paraId="00000004">
      <w:pPr>
        <w:pStyle w:val="Heading4"/>
        <w:rPr/>
      </w:pPr>
      <w:bookmarkStart w:colFirst="0" w:colLast="0" w:name="_28va2o98lzmj" w:id="2"/>
      <w:bookmarkEnd w:id="2"/>
      <w:r w:rsidDel="00000000" w:rsidR="00000000" w:rsidRPr="00000000">
        <w:rPr>
          <w:rFonts w:ascii="Arial Unicode MS" w:cs="Arial Unicode MS" w:eastAsia="Arial Unicode MS" w:hAnsi="Arial Unicode MS"/>
          <w:rtl w:val="0"/>
        </w:rPr>
        <w:t xml:space="preserve">2. 설립 유형 및 학교 종류별 통계 분석</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고등교육 기관의 설립 주체와 종류는 교육의 공공성, 재정적 안정성, 그리고 교육 과정의 유연성을 결정짓는 중요한 요소입니다. 부산 지역 IT 교육 시장은 국립대학교의 견고한 인재 배출 역량과 사립대학교의 특성화된 교육 서비스가 공존하며 지역 교육 자원의 다양성을 확보하고 있습니다.</w:t>
      </w:r>
      <w:r w:rsidDel="00000000" w:rsidR="00000000" w:rsidRPr="00000000">
        <w:rPr>
          <w:rFonts w:ascii="Arial Unicode MS" w:cs="Arial Unicode MS" w:eastAsia="Arial Unicode MS" w:hAnsi="Arial Unicode MS"/>
          <w:b w:val="1"/>
          <w:bCs w:val="1"/>
          <w:rtl w:val="0"/>
        </w:rPr>
        <w:t xml:space="preserve">표 1 설립 구분 및 학교 종류별 학과 수 분포</w:t>
      </w:r>
      <w:r w:rsidDel="00000000" w:rsidR="00000000" w:rsidRPr="00000000">
        <w:rPr>
          <w:rFonts w:ascii="Arial Unicode MS" w:cs="Arial Unicode MS" w:eastAsia="Arial Unicode MS" w:hAnsi="Arial Unicode MS"/>
          <w:rtl w:val="0"/>
        </w:rPr>
        <w:t xml:space="preserve">| 설립 구분 | 학교 종류 | 학과 수 | 비중 (%) | 학교 수 (학과 수) || ------ | ------ | ------ | ------ | ------ || </w:t>
      </w:r>
      <w:r w:rsidDel="00000000" w:rsidR="00000000" w:rsidRPr="00000000">
        <w:rPr>
          <w:rFonts w:ascii="Arial Unicode MS" w:cs="Arial Unicode MS" w:eastAsia="Arial Unicode MS" w:hAnsi="Arial Unicode MS"/>
          <w:b w:val="1"/>
          <w:bCs w:val="1"/>
          <w:rtl w:val="0"/>
        </w:rPr>
        <w:t xml:space="preserve">국립</w:t>
      </w:r>
      <w:r w:rsidDel="00000000" w:rsidR="00000000" w:rsidRPr="00000000">
        <w:rPr>
          <w:rFonts w:ascii="Arial Unicode MS" w:cs="Arial Unicode MS" w:eastAsia="Arial Unicode MS" w:hAnsi="Arial Unicode MS"/>
          <w:rtl w:val="0"/>
        </w:rPr>
        <w:t xml:space="preserve"> | 대학교 | 6 | 40.0% | 국립한국해양대(1), 부산대(4), 국립부경대(1) || </w:t>
      </w:r>
      <w:r w:rsidDel="00000000" w:rsidR="00000000" w:rsidRPr="00000000">
        <w:rPr>
          <w:rFonts w:ascii="Arial Unicode MS" w:cs="Arial Unicode MS" w:eastAsia="Arial Unicode MS" w:hAnsi="Arial Unicode MS"/>
          <w:b w:val="1"/>
          <w:bCs w:val="1"/>
          <w:rtl w:val="0"/>
        </w:rPr>
        <w:t xml:space="preserve">사립</w:t>
      </w:r>
      <w:r w:rsidDel="00000000" w:rsidR="00000000" w:rsidRPr="00000000">
        <w:rPr>
          <w:rFonts w:ascii="Arial Unicode MS" w:cs="Arial Unicode MS" w:eastAsia="Arial Unicode MS" w:hAnsi="Arial Unicode MS"/>
          <w:rtl w:val="0"/>
        </w:rPr>
        <w:t xml:space="preserve"> | 대학교 | 8 | 53.3% | 경성대(1), 동명대(1), 동아대(1), 동의대(1), 신라대(1), 동서대(2), 부산외대(1) || </w:t>
      </w:r>
      <w:r w:rsidDel="00000000" w:rsidR="00000000" w:rsidRPr="00000000">
        <w:rPr>
          <w:rFonts w:ascii="Arial Unicode MS" w:cs="Arial Unicode MS" w:eastAsia="Arial Unicode MS" w:hAnsi="Arial Unicode MS"/>
          <w:b w:val="1"/>
          <w:bCs w:val="1"/>
          <w:rtl w:val="0"/>
        </w:rPr>
        <w:t xml:space="preserve">사립</w:t>
      </w:r>
      <w:r w:rsidDel="00000000" w:rsidR="00000000" w:rsidRPr="00000000">
        <w:rPr>
          <w:rFonts w:ascii="Arial Unicode MS" w:cs="Arial Unicode MS" w:eastAsia="Arial Unicode MS" w:hAnsi="Arial Unicode MS"/>
          <w:rtl w:val="0"/>
        </w:rPr>
        <w:t xml:space="preserve"> | 사이버대학 | 1 | 6.7% | 부산디지털대학교(1) || </w:t>
      </w:r>
      <w:r w:rsidDel="00000000" w:rsidR="00000000" w:rsidRPr="00000000">
        <w:rPr>
          <w:rFonts w:ascii="Arial Unicode MS" w:cs="Arial Unicode MS" w:eastAsia="Arial Unicode MS" w:hAnsi="Arial Unicode MS"/>
          <w:b w:val="1"/>
          <w:bCs w:val="1"/>
          <w:rtl w:val="0"/>
        </w:rPr>
        <w:t xml:space="preserve">합계</w:t>
      </w:r>
      <w:r w:rsidDel="00000000" w:rsidR="00000000" w:rsidRPr="00000000">
        <w:rPr>
          <w:rtl w:val="0"/>
        </w:rPr>
        <w:t xml:space="preserve"> | - | </w:t>
      </w:r>
      <w:r w:rsidDel="00000000" w:rsidR="00000000" w:rsidRPr="00000000">
        <w:rPr>
          <w:b w:val="1"/>
          <w:bCs w:val="1"/>
          <w:rtl w:val="0"/>
        </w:rPr>
        <w:t xml:space="preserve">15</w:t>
      </w:r>
      <w:r w:rsidDel="00000000" w:rsidR="00000000" w:rsidRPr="00000000">
        <w:rPr>
          <w:rtl w:val="0"/>
        </w:rPr>
        <w:t xml:space="preserve"> | </w:t>
      </w:r>
      <w:r w:rsidDel="00000000" w:rsidR="00000000" w:rsidRPr="00000000">
        <w:rPr>
          <w:b w:val="1"/>
          <w:bCs w:val="1"/>
          <w:rtl w:val="0"/>
        </w:rPr>
        <w:t xml:space="preserve">100%</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총 10개교</w:t>
      </w:r>
      <w:r w:rsidDel="00000000" w:rsidR="00000000" w:rsidRPr="00000000">
        <w:rPr>
          <w:rtl w:val="0"/>
        </w:rPr>
        <w:t xml:space="preserve"> |</w:t>
      </w:r>
    </w:p>
    <w:p w:rsidR="00000000" w:rsidDel="00000000" w:rsidP="00000000" w:rsidRDefault="00000000" w:rsidRPr="00000000" w14:paraId="00000006">
      <w:pPr>
        <w:pStyle w:val="Heading5"/>
        <w:rPr/>
      </w:pPr>
      <w:bookmarkStart w:colFirst="0" w:colLast="0" w:name="_gxq8iv5uty95" w:id="3"/>
      <w:bookmarkEnd w:id="3"/>
      <w:r w:rsidDel="00000000" w:rsidR="00000000" w:rsidRPr="00000000">
        <w:rPr>
          <w:rFonts w:ascii="Arial Unicode MS" w:cs="Arial Unicode MS" w:eastAsia="Arial Unicode MS" w:hAnsi="Arial Unicode MS"/>
          <w:rtl w:val="0"/>
        </w:rPr>
        <w:t xml:space="preserve">전략적 평가 (So What?)</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데이터 분석 결과, 국립대학교는 단 3개교가 6개 학과(40%)를 운영하며 개별 기관당 높은 인재 양성 밀도와 공공 기반의 안정적인 공급망을 구축하고 있습니다. 특히 부산대학교는 4개 전공을 세분화하여 규모의 경제를 실현하고 있습니다. 반면 사립 기관은 7개 일반대학과 1개 사이버대학이 9개 학과를 운영하며 공급처의 다양성을 확보하고 있습니다. 이는 국립대학이 인재 양성의 '안정성과 볼륨'을 담당하고, 사립 및 사이버 대학이 '교육 접근성 및 틈새 특성화'를 지원하는 상호보완적 IT 교육 공급망을 형성하고 있음을 시사합니다.교육 기관의 설립 기반을 확인한 후, 이들 기관이 부산 내 어느 지역에 집중되어 있는지 지리적 분포를 분석하는 단계로 전환하겠습니다.</w:t>
      </w:r>
    </w:p>
    <w:p w:rsidR="00000000" w:rsidDel="00000000" w:rsidP="00000000" w:rsidRDefault="00000000" w:rsidRPr="00000000" w14:paraId="00000008">
      <w:pPr>
        <w:pStyle w:val="Heading4"/>
        <w:rPr/>
      </w:pPr>
      <w:bookmarkStart w:colFirst="0" w:colLast="0" w:name="_qlpwn4iqr2i6" w:id="4"/>
      <w:bookmarkEnd w:id="4"/>
      <w:r w:rsidDel="00000000" w:rsidR="00000000" w:rsidRPr="00000000">
        <w:rPr>
          <w:rFonts w:ascii="Arial Unicode MS" w:cs="Arial Unicode MS" w:eastAsia="Arial Unicode MS" w:hAnsi="Arial Unicode MS"/>
          <w:rtl w:val="0"/>
        </w:rPr>
        <w:t xml:space="preserve">3. 지리적 분포 및 소재지 상세 분석</w:t>
      </w:r>
    </w:p>
    <w:p w:rsidR="00000000" w:rsidDel="00000000" w:rsidP="00000000" w:rsidRDefault="00000000" w:rsidRPr="00000000" w14:paraId="00000009">
      <w:pPr>
        <w:rPr>
          <w:b w:val="1"/>
          <w:bCs w:val="1"/>
        </w:rPr>
      </w:pPr>
      <w:r w:rsidDel="00000000" w:rsidR="00000000" w:rsidRPr="00000000">
        <w:rPr>
          <w:rFonts w:ascii="Arial Unicode MS" w:cs="Arial Unicode MS" w:eastAsia="Arial Unicode MS" w:hAnsi="Arial Unicode MS"/>
          <w:rtl w:val="0"/>
        </w:rPr>
        <w:t xml:space="preserve">대학의 지리적 위치는 지역 산업 클러스터와의 연계성을 결정짓는 핵심 변수입니다. 특정 구(區) 단위의 학과 집중도는 산학협력의 물리적 토대를 마련하며, 이는 지역 거점별 산업 특성과 맞물려 시너지를 창출합니다.</w:t>
      </w:r>
      <w:r w:rsidDel="00000000" w:rsidR="00000000" w:rsidRPr="00000000">
        <w:rPr>
          <w:rFonts w:ascii="Arial Unicode MS" w:cs="Arial Unicode MS" w:eastAsia="Arial Unicode MS" w:hAnsi="Arial Unicode MS"/>
          <w:b w:val="1"/>
          <w:bCs w:val="1"/>
          <w:rtl w:val="0"/>
        </w:rPr>
        <w:t xml:space="preserve">리스트 1 부산 지역 구별 IT 관련 학과 분포 (내림차순)</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금정구 (5개):</w:t>
      </w:r>
      <w:r w:rsidDel="00000000" w:rsidR="00000000" w:rsidRPr="00000000">
        <w:rPr>
          <w:rFonts w:ascii="Arial Unicode MS" w:cs="Arial Unicode MS" w:eastAsia="Arial Unicode MS" w:hAnsi="Arial Unicode MS"/>
          <w:rtl w:val="0"/>
        </w:rPr>
        <w:t xml:space="preserve">  부산대학교 (4), 부산외국어대학교 (1)</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사상구 (4개):</w:t>
      </w:r>
      <w:r w:rsidDel="00000000" w:rsidR="00000000" w:rsidRPr="00000000">
        <w:rPr>
          <w:rFonts w:ascii="Arial Unicode MS" w:cs="Arial Unicode MS" w:eastAsia="Arial Unicode MS" w:hAnsi="Arial Unicode MS"/>
          <w:rtl w:val="0"/>
        </w:rPr>
        <w:t xml:space="preserve">  동서대학교 (2), 신라대학교 (1), 부산디지털대학교 (1)</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남구 (3개):</w:t>
      </w:r>
      <w:r w:rsidDel="00000000" w:rsidR="00000000" w:rsidRPr="00000000">
        <w:rPr>
          <w:rFonts w:ascii="Arial Unicode MS" w:cs="Arial Unicode MS" w:eastAsia="Arial Unicode MS" w:hAnsi="Arial Unicode MS"/>
          <w:rtl w:val="0"/>
        </w:rPr>
        <w:t xml:space="preserve">  국립부경대학교 (1), 경성대학교 (1), 동명대학교 (1)</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영도구 (1개):</w:t>
      </w:r>
      <w:r w:rsidDel="00000000" w:rsidR="00000000" w:rsidRPr="00000000">
        <w:rPr>
          <w:rFonts w:ascii="Arial Unicode MS" w:cs="Arial Unicode MS" w:eastAsia="Arial Unicode MS" w:hAnsi="Arial Unicode MS"/>
          <w:rtl w:val="0"/>
        </w:rPr>
        <w:t xml:space="preserve">  국립한국해양대학교</w:t>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사하구 (1개):</w:t>
      </w:r>
      <w:r w:rsidDel="00000000" w:rsidR="00000000" w:rsidRPr="00000000">
        <w:rPr>
          <w:rFonts w:ascii="Arial Unicode MS" w:cs="Arial Unicode MS" w:eastAsia="Arial Unicode MS" w:hAnsi="Arial Unicode MS"/>
          <w:rtl w:val="0"/>
        </w:rPr>
        <w:t xml:space="preserve">  동아대학교</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부산진구 (1개):</w:t>
      </w:r>
      <w:r w:rsidDel="00000000" w:rsidR="00000000" w:rsidRPr="00000000">
        <w:rPr>
          <w:rFonts w:ascii="Arial Unicode MS" w:cs="Arial Unicode MS" w:eastAsia="Arial Unicode MS" w:hAnsi="Arial Unicode MS"/>
          <w:rtl w:val="0"/>
        </w:rPr>
        <w:t xml:space="preserve">  동의대학교</w:t>
      </w:r>
    </w:p>
    <w:p w:rsidR="00000000" w:rsidDel="00000000" w:rsidP="00000000" w:rsidRDefault="00000000" w:rsidRPr="00000000" w14:paraId="00000010">
      <w:pPr>
        <w:pStyle w:val="Heading5"/>
        <w:rPr/>
      </w:pPr>
      <w:bookmarkStart w:colFirst="0" w:colLast="0" w:name="_7nyj0h6d68ha" w:id="5"/>
      <w:bookmarkEnd w:id="5"/>
      <w:r w:rsidDel="00000000" w:rsidR="00000000" w:rsidRPr="00000000">
        <w:rPr>
          <w:rFonts w:ascii="Arial Unicode MS" w:cs="Arial Unicode MS" w:eastAsia="Arial Unicode MS" w:hAnsi="Arial Unicode MS"/>
          <w:rtl w:val="0"/>
        </w:rPr>
        <w:t xml:space="preserve">전략적 평가 (So What?)</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금정구(5개)와 남구(3개)에 집중된 학과들은 부산의 전통적인 R&amp;D 및 학술 거점을 형성하고 있으며, 이는 '캠퍼스 혁신파크' 조성 등 고부가가치 지식 서비스 산업 육성에 최적화된 입지입니다. 주목할 점은 사상구(4개)의 클러스터입니다. 동서대, 신라대, 부산디지털대가 위치한 사상구는 서부산권의 노후화된 제조 산업 단지를 디지털로 전환(DX)하는 데 필요한 현장 맞춤형 인력을 적시에 공급할 수 있는 전략적 요충지입니다. 이러한 지리적 밀집도는 통학 편의성을 넘어, 특정 지역 산업 맞춤형 인재 양성을 위한 지자체-대학-기업 간 긴밀한 네트워크 구축의 토대가 됩니다.지리적 위치 분석을 마치고, 각 학과가 표방하는 구체적인 교육 과정과 학문적 분류 체계를 상세히 검토하겠습니다.</w:t>
      </w:r>
    </w:p>
    <w:p w:rsidR="00000000" w:rsidDel="00000000" w:rsidP="00000000" w:rsidRDefault="00000000" w:rsidRPr="00000000" w14:paraId="00000012">
      <w:pPr>
        <w:pStyle w:val="Heading4"/>
        <w:rPr/>
      </w:pPr>
      <w:bookmarkStart w:colFirst="0" w:colLast="0" w:name="_oucdlf9bfjz3" w:id="6"/>
      <w:bookmarkEnd w:id="6"/>
      <w:r w:rsidDel="00000000" w:rsidR="00000000" w:rsidRPr="00000000">
        <w:rPr>
          <w:rFonts w:ascii="Arial Unicode MS" w:cs="Arial Unicode MS" w:eastAsia="Arial Unicode MS" w:hAnsi="Arial Unicode MS"/>
          <w:rtl w:val="0"/>
        </w:rPr>
        <w:t xml:space="preserve">4. 표준분류 및 학과 특성 세부 분석</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학문적 분류 체계와 학과 명칭 간의 정합성은 교육 기관이 추구하는 전문성의 방향을 보여줍니다. 특히 급변하는 기술 트렌드에 대응하여 대학들이 어떤 키워드를 전략적으로 선택하고 있는지 분석하는 것은 인력 양성의 질적 수준을 가늠하는 척도가 됩니다.</w:t>
      </w:r>
      <w:r w:rsidDel="00000000" w:rsidR="00000000" w:rsidRPr="00000000">
        <w:rPr>
          <w:rFonts w:ascii="Arial Unicode MS" w:cs="Arial Unicode MS" w:eastAsia="Arial Unicode MS" w:hAnsi="Arial Unicode MS"/>
          <w:b w:val="1"/>
          <w:bCs w:val="1"/>
          <w:rtl w:val="0"/>
        </w:rPr>
        <w:t xml:space="preserve">표 2 표준분류계열(소)에 따른 학과 분포 및 명칭 패턴</w:t>
      </w:r>
      <w:r w:rsidDel="00000000" w:rsidR="00000000" w:rsidRPr="00000000">
        <w:rPr>
          <w:rFonts w:ascii="Arial Unicode MS" w:cs="Arial Unicode MS" w:eastAsia="Arial Unicode MS" w:hAnsi="Arial Unicode MS"/>
          <w:rtl w:val="0"/>
        </w:rPr>
        <w:t xml:space="preserve">| 표준분류계열(소) | 학과 수 | 주요 키워드 및 특징 || ------ | ------ | ------ || </w:t>
      </w:r>
      <w:r w:rsidDel="00000000" w:rsidR="00000000" w:rsidRPr="00000000">
        <w:rPr>
          <w:rFonts w:ascii="Arial Unicode MS" w:cs="Arial Unicode MS" w:eastAsia="Arial Unicode MS" w:hAnsi="Arial Unicode MS"/>
          <w:b w:val="1"/>
          <w:bCs w:val="1"/>
          <w:rtl w:val="0"/>
        </w:rPr>
        <w:t xml:space="preserve">전산학·컴퓨터공학</w:t>
      </w:r>
      <w:r w:rsidDel="00000000" w:rsidR="00000000" w:rsidRPr="00000000">
        <w:rPr>
          <w:rFonts w:ascii="Arial Unicode MS" w:cs="Arial Unicode MS" w:eastAsia="Arial Unicode MS" w:hAnsi="Arial Unicode MS"/>
          <w:rtl w:val="0"/>
        </w:rPr>
        <w:t xml:space="preserve"> | 13 | 컴퓨터공학과(전공), 인공지능공학부(국립한국해양대) || </w:t>
      </w:r>
      <w:r w:rsidDel="00000000" w:rsidR="00000000" w:rsidRPr="00000000">
        <w:rPr>
          <w:rFonts w:ascii="Arial Unicode MS" w:cs="Arial Unicode MS" w:eastAsia="Arial Unicode MS" w:hAnsi="Arial Unicode MS"/>
          <w:b w:val="1"/>
          <w:bCs w:val="1"/>
          <w:rtl w:val="0"/>
        </w:rPr>
        <w:t xml:space="preserve">인공지능공학</w:t>
      </w:r>
      <w:r w:rsidDel="00000000" w:rsidR="00000000" w:rsidRPr="00000000">
        <w:rPr>
          <w:rFonts w:ascii="Arial Unicode MS" w:cs="Arial Unicode MS" w:eastAsia="Arial Unicode MS" w:hAnsi="Arial Unicode MS"/>
          <w:rtl w:val="0"/>
        </w:rPr>
        <w:t xml:space="preserve"> | 1 | 인공지능전공(부산대) || </w:t>
      </w:r>
      <w:r w:rsidDel="00000000" w:rsidR="00000000" w:rsidRPr="00000000">
        <w:rPr>
          <w:rFonts w:ascii="Arial Unicode MS" w:cs="Arial Unicode MS" w:eastAsia="Arial Unicode MS" w:hAnsi="Arial Unicode MS"/>
          <w:b w:val="1"/>
          <w:bCs w:val="1"/>
          <w:rtl w:val="0"/>
        </w:rPr>
        <w:t xml:space="preserve">응용소프트웨어공학</w:t>
      </w:r>
      <w:r w:rsidDel="00000000" w:rsidR="00000000" w:rsidRPr="00000000">
        <w:rPr>
          <w:rFonts w:ascii="Arial Unicode MS" w:cs="Arial Unicode MS" w:eastAsia="Arial Unicode MS" w:hAnsi="Arial Unicode MS"/>
          <w:rtl w:val="0"/>
        </w:rPr>
        <w:t xml:space="preserve"> | 1 | 디자인테크놀로지전공(부산대) |</w:t>
      </w:r>
    </w:p>
    <w:p w:rsidR="00000000" w:rsidDel="00000000" w:rsidP="00000000" w:rsidRDefault="00000000" w:rsidRPr="00000000" w14:paraId="00000014">
      <w:pPr>
        <w:pStyle w:val="Heading5"/>
        <w:rPr/>
      </w:pPr>
      <w:bookmarkStart w:colFirst="0" w:colLast="0" w:name="_ex54cuuiq3u1" w:id="7"/>
      <w:bookmarkEnd w:id="7"/>
      <w:r w:rsidDel="00000000" w:rsidR="00000000" w:rsidRPr="00000000">
        <w:rPr>
          <w:rFonts w:ascii="Arial Unicode MS" w:cs="Arial Unicode MS" w:eastAsia="Arial Unicode MS" w:hAnsi="Arial Unicode MS"/>
          <w:rtl w:val="0"/>
        </w:rPr>
        <w:t xml:space="preserve">전략적 평가 (So What?)</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분석 대상의 86.6%가 '전산학·컴퓨터공학' 소분류에 속해 있어, 부산의 IT 교육은 여전히 컴퓨터 공학의 기초 체력을 배양하는 데 중점을 두고 있습니다. 그러나 '학과명' 키워드 추출 시 유의미한 현상이 발견됩니다.  </w:t>
      </w:r>
      <w:r w:rsidDel="00000000" w:rsidR="00000000" w:rsidRPr="00000000">
        <w:rPr>
          <w:rFonts w:ascii="Arial Unicode MS" w:cs="Arial Unicode MS" w:eastAsia="Arial Unicode MS" w:hAnsi="Arial Unicode MS"/>
          <w:b w:val="1"/>
          <w:bCs w:val="1"/>
          <w:rtl w:val="0"/>
        </w:rPr>
        <w:t xml:space="preserve">국립한국해양대학교</w:t>
      </w:r>
      <w:r w:rsidDel="00000000" w:rsidR="00000000" w:rsidRPr="00000000">
        <w:rPr>
          <w:rFonts w:ascii="Arial Unicode MS" w:cs="Arial Unicode MS" w:eastAsia="Arial Unicode MS" w:hAnsi="Arial Unicode MS"/>
          <w:rtl w:val="0"/>
        </w:rPr>
        <w:t xml:space="preserve"> 는 학과 명칭에 '인공지능공학부'를 전면 배치했으나, 실제 표준분류는 '전산학·컴퓨터공학'에 머물러 있습니다. 이는 입시 마케팅 및 사회적 수요에 맞춰 학과명을 선제적으로 브랜드화하려는 대학의 전략적 행보로 풀이됩니다. 반면  </w:t>
      </w:r>
      <w:r w:rsidDel="00000000" w:rsidR="00000000" w:rsidRPr="00000000">
        <w:rPr>
          <w:rFonts w:ascii="Arial Unicode MS" w:cs="Arial Unicode MS" w:eastAsia="Arial Unicode MS" w:hAnsi="Arial Unicode MS"/>
          <w:b w:val="1"/>
          <w:bCs w:val="1"/>
          <w:rtl w:val="0"/>
        </w:rPr>
        <w:t xml:space="preserve">부산대학교</w:t>
      </w:r>
      <w:r w:rsidDel="00000000" w:rsidR="00000000" w:rsidRPr="00000000">
        <w:rPr>
          <w:rFonts w:ascii="Arial Unicode MS" w:cs="Arial Unicode MS" w:eastAsia="Arial Unicode MS" w:hAnsi="Arial Unicode MS"/>
          <w:rtl w:val="0"/>
        </w:rPr>
        <w:t xml:space="preserve"> 는 '인공지능' 및 '디자인테크놀로지'를 표준분류 단계에서부터 분리하여 운영함으로써, 고도화된 전문 학문 체계를 선도하고 있습니다. 이러한 경향은 기초 인력 양성에서 나아가 특정 기술(AI, 융합 기술) 중심의 고도화된 교육 모델로의 전환이 시작되었음을 의미합니다.학문적 분류와 전문성 분석을 바탕으로, 데이터에서 도출된 핵심 시사점을 종합하며 보고서를 마무리하겠습니다.</w:t>
      </w:r>
    </w:p>
    <w:p w:rsidR="00000000" w:rsidDel="00000000" w:rsidP="00000000" w:rsidRDefault="00000000" w:rsidRPr="00000000" w14:paraId="00000016">
      <w:pPr>
        <w:pStyle w:val="Heading4"/>
        <w:rPr/>
      </w:pPr>
      <w:bookmarkStart w:colFirst="0" w:colLast="0" w:name="_j5jptlyqpvky" w:id="8"/>
      <w:bookmarkEnd w:id="8"/>
      <w:r w:rsidDel="00000000" w:rsidR="00000000" w:rsidRPr="00000000">
        <w:rPr>
          <w:rFonts w:ascii="Arial Unicode MS" w:cs="Arial Unicode MS" w:eastAsia="Arial Unicode MS" w:hAnsi="Arial Unicode MS"/>
          <w:rtl w:val="0"/>
        </w:rPr>
        <w:t xml:space="preserve">5. 결론: 부산 IT 교육 자산의 종합적 평가</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본 보고서의 기초 통계 분석은 부산이 국립대 중심의 양적 공급력과 사립대 중심의 공간적 다양성을 모두 갖춘 우수한 IT 교육 인프라를 보유하고 있음을 보여줍니다.</w:t>
      </w:r>
    </w:p>
    <w:p w:rsidR="00000000" w:rsidDel="00000000" w:rsidP="00000000" w:rsidRDefault="00000000" w:rsidRPr="00000000" w14:paraId="00000018">
      <w:pPr>
        <w:pStyle w:val="Heading5"/>
        <w:rPr/>
      </w:pPr>
      <w:bookmarkStart w:colFirst="0" w:colLast="0" w:name="_ddjuzkjxnzt" w:id="9"/>
      <w:bookmarkEnd w:id="9"/>
      <w:r w:rsidDel="00000000" w:rsidR="00000000" w:rsidRPr="00000000">
        <w:rPr>
          <w:rFonts w:ascii="Arial Unicode MS" w:cs="Arial Unicode MS" w:eastAsia="Arial Unicode MS" w:hAnsi="Arial Unicode MS"/>
          <w:rtl w:val="0"/>
        </w:rPr>
        <w:t xml:space="preserve">핵심 분석 요약</w:t>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국립대 주도의 대규모 공급:</w:t>
      </w:r>
      <w:r w:rsidDel="00000000" w:rsidR="00000000" w:rsidRPr="00000000">
        <w:rPr>
          <w:rFonts w:ascii="Arial Unicode MS" w:cs="Arial Unicode MS" w:eastAsia="Arial Unicode MS" w:hAnsi="Arial Unicode MS"/>
          <w:rtl w:val="0"/>
        </w:rPr>
        <w:t xml:space="preserve">  국립 3개교가 전체 학과의 40%를 담당하며 지역 IT 인재 공급의 핵심 엔진 역할을 수행 중입니다.</w:t>
      </w:r>
    </w:p>
    <w:p w:rsidR="00000000" w:rsidDel="00000000" w:rsidP="00000000" w:rsidRDefault="00000000" w:rsidRPr="00000000" w14:paraId="0000001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산업 거점별 전략적 배치:</w:t>
      </w:r>
      <w:r w:rsidDel="00000000" w:rsidR="00000000" w:rsidRPr="00000000">
        <w:rPr>
          <w:rFonts w:ascii="Arial Unicode MS" w:cs="Arial Unicode MS" w:eastAsia="Arial Unicode MS" w:hAnsi="Arial Unicode MS"/>
          <w:rtl w:val="0"/>
        </w:rPr>
        <w:t xml:space="preserve">  금정·남구의 R&amp;D형 허브와 사상구의 제조 혁신형 허브로 양분된 지리적 특성을 보입니다.</w:t>
      </w:r>
    </w:p>
    <w:p w:rsidR="00000000" w:rsidDel="00000000" w:rsidP="00000000" w:rsidRDefault="00000000" w:rsidRPr="00000000" w14:paraId="0000001B">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원격 교육 자산:</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부산디지털대학교</w:t>
      </w:r>
      <w:r w:rsidDel="00000000" w:rsidR="00000000" w:rsidRPr="00000000">
        <w:rPr>
          <w:rFonts w:ascii="Arial Unicode MS" w:cs="Arial Unicode MS" w:eastAsia="Arial Unicode MS" w:hAnsi="Arial Unicode MS"/>
          <w:rtl w:val="0"/>
        </w:rPr>
        <w:t xml:space="preserve"> 는 15개 학과 중 유일한 원격 과정으로서, 재직자 재교육(Re-skilling)을 통한 지역 산업의 디지털 전환을 지원하는 유연한 교육 자산입니다.</w:t>
      </w:r>
    </w:p>
    <w:p w:rsidR="00000000" w:rsidDel="00000000" w:rsidP="00000000" w:rsidRDefault="00000000" w:rsidRPr="00000000" w14:paraId="0000001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명칭과 분류의 괴리:</w:t>
      </w:r>
      <w:r w:rsidDel="00000000" w:rsidR="00000000" w:rsidRPr="00000000">
        <w:rPr>
          <w:rFonts w:ascii="Arial Unicode MS" w:cs="Arial Unicode MS" w:eastAsia="Arial Unicode MS" w:hAnsi="Arial Unicode MS"/>
          <w:rtl w:val="0"/>
        </w:rPr>
        <w:t xml:space="preserve">  AI 등 신기술 키워드를 학과명에 도입하는 추세가 뚜렷하나, 실제 표준분류 체계의 전문화는 부산대 등 일부 상위 기관에 집중되어 있습니다.</w:t>
      </w:r>
    </w:p>
    <w:p w:rsidR="00000000" w:rsidDel="00000000" w:rsidP="00000000" w:rsidRDefault="00000000" w:rsidRPr="00000000" w14:paraId="0000001D">
      <w:pPr>
        <w:pStyle w:val="Heading5"/>
        <w:rPr/>
      </w:pPr>
      <w:bookmarkStart w:colFirst="0" w:colLast="0" w:name="_fku7yajjifc" w:id="10"/>
      <w:bookmarkEnd w:id="10"/>
      <w:r w:rsidDel="00000000" w:rsidR="00000000" w:rsidRPr="00000000">
        <w:rPr>
          <w:rFonts w:ascii="Arial Unicode MS" w:cs="Arial Unicode MS" w:eastAsia="Arial Unicode MS" w:hAnsi="Arial Unicode MS"/>
          <w:rtl w:val="0"/>
        </w:rPr>
        <w:t xml:space="preserve">전략적 제언 (So What?)</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첫째, 부산대학교의 특성화 전공(AI, 디자인테크놀로지) 사례를 벤치마킹하여 타 대학들도 실질적인 학문적 고도화를 병행해야 합니다. 둘째, 남구에 밀집한 사립 대학들은 국립부경대학교의 규모에 대응하기 위해 가칭 **'남구 디지털 공유학점제(Digital Credit Exchange)'**를 도입하여 교육 자원을 공동 활용하는 전략이 필요합니다. 셋째, 사상구 클러스터는 서부산권 스마트 공단과 연계한 실무형 DX 교육 모델을 강화하여 지리적 이점을 극대화해야 합니다.본 보고서가 제시한 데이터 기반의 통찰이 부산 지역 IT 교육의 경쟁력을 제고하고, 정책 입안자들이 실효성 있는 산학협력 모델을 설계하는 데 전략적 나침반이 되기를 기대합니다.</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