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CUB200细粒度鸟类分类实验报告</w:t>
      </w:r>
    </w:p>
    <w:p>
      <w:pPr>
        <w:spacing w:line="288" w:lineRule="auto"/>
        <w:ind w:firstLine="0"/>
        <w:jc w:val="center"/>
      </w:pPr>
      <w:r>
        <w:rPr>
          <w:sz w:val="18"/>
        </w:rPr>
        <w:t>基于 ResNet50 的高分辨率微调与裁剪一致性学习</w:t>
      </w:r>
    </w:p>
    <w:p>
      <w:pPr>
        <w:spacing w:line="288" w:lineRule="auto"/>
        <w:ind w:firstLine="0"/>
        <w:jc w:val="center"/>
      </w:pPr>
      <w:r>
        <w:rPr>
          <w:sz w:val="18"/>
        </w:rPr>
        <w:t>2026 年 10 月 22 日</w:t>
      </w:r>
    </w:p>
    <w:p>
      <w:pPr>
        <w:pStyle w:val="Heading1"/>
      </w:pPr>
      <w:r>
        <w:t>摘要</w:t>
      </w:r>
    </w:p>
    <w:p>
      <w:r>
        <w:t>本实验研究在 ResNet-50 骨干、448×448 输入和单图分类推理条件下，如何提高 CUB-200-2011 鸟类细粒度识别性能。实验首先建立 ImageNet 预训练分类基线，通过提高输入分辨率和混合增强改善识别效果；随后利用类激活图构造局部裁剪视图，并在更换半弱监督预训练权重后调整分层学习率；最终通过整图与局部视图之间的预测一致性约束，结合适度正则化和训练后期权重平均，形成完整训练方案。实验记录中的最高测试 Top-1 为 89.10%，较 224 输入的早期基线提高 6.61 个百分点。该结果属于单次训练及既有评估口径下的记录成绩，其统计口径与核验范围见第 5 节。</w:t>
      </w:r>
    </w:p>
    <w:p>
      <w:pPr>
        <w:spacing w:line="288" w:lineRule="auto"/>
        <w:ind w:firstLine="0"/>
      </w:pPr>
      <w:r>
        <w:rPr>
          <w:sz w:val="18"/>
        </w:rPr>
        <w:t>关键词：细粒度分类；CUB-200-2011；ResNet-50；CAM 裁剪；一致性学习；权重平均。</w:t>
      </w:r>
    </w:p>
    <w:p>
      <w:pPr>
        <w:pStyle w:val="Heading1"/>
      </w:pPr>
      <w:r>
        <w:t>1 实验目标与数据设置</w:t>
      </w:r>
    </w:p>
    <w:p>
      <w:pPr>
        <w:pStyle w:val="Heading2"/>
      </w:pPr>
      <w:r>
        <w:t>1.1 任务与约束</w:t>
      </w:r>
    </w:p>
    <w:p>
      <w:r>
        <w:t>CUB-200-2011 包含 200 个鸟类类别。不同物种之间常只有羽色、喙形、头部纹理等细节差异，同一物种又存在姿态、尺度和背景变化，因此需要兼顾局部细节与整体上下文。本实验以测试集分类准确率为主要指标，目标为接近并争取达到 90% 的 Top-1 准确率。</w:t>
      </w:r>
    </w:p>
    <w:p>
      <w:r>
        <w:t>最终方案仅使用图像和类别标签进行训练，测试时采用单模型、单张中心裁剪图像的一次前向推理。CAM 局部视图由模型自身生成，不使用人工边界框、关键点或部位标注。部位标注仅曾用于独立诊断及探索性对照，不属于最终方法。早期 224 输入实验用于建立参照，最终输入固定为 448。</w:t>
      </w:r>
    </w:p>
    <w:p>
      <w:pPr>
        <w:pStyle w:val="Heading2"/>
      </w:pPr>
      <w:r>
        <w:t>1.2 数据划分</w:t>
      </w:r>
    </w:p>
    <w:p>
      <w:r>
        <w:t>数据集共 11,788 张图像，沿用官方训练集 5,994 张与测试集 5,794 张的划分。从官方训练列表中按索引等步长抽取验证集：当索引 i 为 10 的倍数且 i≠0 时划入验证集，其余用于训练。最终训练、验证、测试样本数分别为 5,395、599、5,794。由于图像列表按类别连续分块，该划分使验证集每类约有 2～3 张图像。最终训练不将验证集并回训练集。</w:t>
      </w:r>
    </w:p>
    <w:p>
      <w:pPr>
        <w:pStyle w:val="Heading1"/>
      </w:pPr>
      <w:r>
        <w:t>2 实验路线与关键改进</w:t>
      </w:r>
    </w:p>
    <w:p>
      <w:pPr>
        <w:pStyle w:val="Heading2"/>
      </w:pPr>
      <w:r>
        <w:t>2.1 从分类基线到局部信息利用</w:t>
      </w:r>
    </w:p>
    <w:p>
      <w:r>
        <w:t>实验首先保持标准 ResNet-50 与线性分类头，优先改进输入信息和训练方式。将分辨率由 224 提高至 448 后，早期代表性实验的测试 Top-1 由 82.49% 提高至 86.64%。较高分辨率为细小纹理和形态差异保留了更多像素信息，是整条路线中幅度最大的阶段性提升。</w:t>
      </w:r>
    </w:p>
    <w:p>
      <w:r>
        <w:t>在 448 输入下引入 Mixup 与 CutMix 后，代表性结果达到 87.17%。两种方法通过跨样本混合图像与标签约束决策边界，降低小规模细粒度数据上的过拟合风险。在此基础上，进一步使用 CAM 找到当前模型响应较强的区域，将该区域裁剪放大后送入共享网络，并增加权重为 0.2 的辅助分类损失，记录成绩提高至 87.84%。该阶段开始将局部视图作为训练信号，但测试仍沿用整图分类路径。</w:t>
      </w:r>
    </w:p>
    <w:p>
      <w:pPr>
        <w:pStyle w:val="Caption"/>
        <w:keepNext/>
        <w:jc w:val="center"/>
      </w:pPr>
      <w:r>
        <w:t>表 1 主要实验路线的记录成绩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3969"/>
        <w:gridCol w:w="1757"/>
        <w:gridCol w:w="1984"/>
      </w:tblGrid>
      <w:tr>
        <w:trPr>
          <w:cantSplit/>
          <w:tblHeader/>
        </w:trPr>
        <w:tc>
          <w:tcPr>
            <w:tcW w:type="dxa" w:w="1531"/>
            <w:vAlign w:val="center"/>
            <w:shd w:fill="E7EBEF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b/>
                <w:sz w:val="18"/>
              </w:rPr>
              <w:t>阶段</w:t>
            </w:r>
          </w:p>
        </w:tc>
        <w:tc>
          <w:tcPr>
            <w:tcW w:type="dxa" w:w="3969"/>
            <w:vAlign w:val="center"/>
            <w:shd w:fill="E7EBEF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b/>
                <w:sz w:val="18"/>
              </w:rPr>
              <w:t>主要变化</w:t>
            </w:r>
          </w:p>
        </w:tc>
        <w:tc>
          <w:tcPr>
            <w:tcW w:type="dxa" w:w="1757"/>
            <w:vAlign w:val="center"/>
            <w:shd w:fill="E7EBEF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b/>
                <w:sz w:val="18"/>
              </w:rPr>
              <w:t>测试 Top-1</w:t>
            </w:r>
          </w:p>
        </w:tc>
        <w:tc>
          <w:tcPr>
            <w:tcW w:type="dxa" w:w="1984"/>
            <w:vAlign w:val="center"/>
            <w:shd w:fill="E7EBEF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b/>
                <w:sz w:val="18"/>
              </w:rPr>
              <w:t>阶段差值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早期基线</w:t>
            </w:r>
          </w:p>
        </w:tc>
        <w:tc>
          <w:tcPr>
            <w:tcW w:type="dxa" w:w="3969"/>
            <w:vAlign w:val="center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ImageNet 预训练与 224 输入</w:t>
            </w:r>
          </w:p>
        </w:tc>
        <w:tc>
          <w:tcPr>
            <w:tcW w:type="dxa" w:w="1757"/>
            <w:vAlign w:val="center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82.49%</w:t>
            </w:r>
          </w:p>
        </w:tc>
        <w:tc>
          <w:tcPr>
            <w:tcW w:type="dxa" w:w="1984"/>
            <w:vAlign w:val="center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高分辨率</w:t>
            </w:r>
          </w:p>
        </w:tc>
        <w:tc>
          <w:tcPr>
            <w:tcW w:type="dxa" w:w="3969"/>
            <w:vAlign w:val="center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输入提高至 448</w:t>
            </w:r>
          </w:p>
        </w:tc>
        <w:tc>
          <w:tcPr>
            <w:tcW w:type="dxa" w:w="1757"/>
            <w:vAlign w:val="center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86.64%</w:t>
            </w:r>
          </w:p>
        </w:tc>
        <w:tc>
          <w:tcPr>
            <w:tcW w:type="dxa" w:w="1984"/>
            <w:vAlign w:val="center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+4.15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混合增强</w:t>
            </w:r>
          </w:p>
        </w:tc>
        <w:tc>
          <w:tcPr>
            <w:tcW w:type="dxa" w:w="3969"/>
            <w:vAlign w:val="center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Mixup 0.2 与 CutMix 1.0</w:t>
            </w:r>
          </w:p>
        </w:tc>
        <w:tc>
          <w:tcPr>
            <w:tcW w:type="dxa" w:w="1757"/>
            <w:vAlign w:val="center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87.17%</w:t>
            </w:r>
          </w:p>
        </w:tc>
        <w:tc>
          <w:tcPr>
            <w:tcW w:type="dxa" w:w="1984"/>
            <w:vAlign w:val="center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+0.53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局部辅助监督</w:t>
            </w:r>
          </w:p>
        </w:tc>
        <w:tc>
          <w:tcPr>
            <w:tcW w:type="dxa" w:w="3969"/>
            <w:vAlign w:val="center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CAM 裁剪与辅助分类</w:t>
            </w:r>
          </w:p>
        </w:tc>
        <w:tc>
          <w:tcPr>
            <w:tcW w:type="dxa" w:w="1757"/>
            <w:vAlign w:val="center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87.84%</w:t>
            </w:r>
          </w:p>
        </w:tc>
        <w:tc>
          <w:tcPr>
            <w:tcW w:type="dxa" w:w="1984"/>
            <w:vAlign w:val="center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+0.67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预训练与微调适配</w:t>
            </w:r>
          </w:p>
        </w:tc>
        <w:tc>
          <w:tcPr>
            <w:tcW w:type="dxa" w:w="3969"/>
            <w:vAlign w:val="center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SWSL 权重与分层学习率</w:t>
            </w:r>
          </w:p>
        </w:tc>
        <w:tc>
          <w:tcPr>
            <w:tcW w:type="dxa" w:w="1757"/>
            <w:vAlign w:val="center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87.83%</w:t>
            </w:r>
          </w:p>
        </w:tc>
        <w:tc>
          <w:tcPr>
            <w:tcW w:type="dxa" w:w="1984"/>
            <w:vAlign w:val="center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−0.01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裁剪一致性</w:t>
            </w:r>
          </w:p>
        </w:tc>
        <w:tc>
          <w:tcPr>
            <w:tcW w:type="dxa" w:w="3969"/>
            <w:vAlign w:val="center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整图与局部预测分布对齐</w:t>
            </w:r>
          </w:p>
        </w:tc>
        <w:tc>
          <w:tcPr>
            <w:tcW w:type="dxa" w:w="1757"/>
            <w:vAlign w:val="center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88.62%</w:t>
            </w:r>
          </w:p>
        </w:tc>
        <w:tc>
          <w:tcPr>
            <w:tcW w:type="dxa" w:w="1984"/>
            <w:vAlign w:val="center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+0.79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最终组合</w:t>
            </w:r>
          </w:p>
        </w:tc>
        <w:tc>
          <w:tcPr>
            <w:tcW w:type="dxa" w:w="3969"/>
            <w:vAlign w:val="center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联合调整学习率与正则化</w:t>
            </w:r>
          </w:p>
        </w:tc>
        <w:tc>
          <w:tcPr>
            <w:tcW w:type="dxa" w:w="1757"/>
            <w:vAlign w:val="center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89.10%</w:t>
            </w:r>
          </w:p>
        </w:tc>
        <w:tc>
          <w:tcPr>
            <w:tcW w:type="dxa" w:w="1984"/>
            <w:vAlign w:val="center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+0.48</w:t>
            </w:r>
          </w:p>
        </w:tc>
      </w:tr>
    </w:tbl>
    <w:p>
      <w:pPr>
        <w:spacing w:after="0"/>
      </w:pPr>
    </w:p>
    <w:p>
      <w:pPr>
        <w:spacing w:line="288" w:lineRule="auto"/>
        <w:ind w:firstLine="0"/>
      </w:pPr>
      <w:r>
        <w:rPr>
          <w:sz w:val="18"/>
        </w:rPr>
        <w:t>注：准确率取自实验阶段记录，差值单位为百分点。各阶段还涉及训练轮数、标签平滑、裁剪阈值与权重平均窗口等设置差异；本表用于描述方法演进，不构成严格的逐项消融或独立因果贡献分解。</w:t>
      </w:r>
    </w:p>
    <w:p>
      <w:pPr>
        <w:pStyle w:val="Heading2"/>
      </w:pPr>
      <w:r>
        <w:t>2.2 更换预训练权重的动机</w:t>
      </w:r>
    </w:p>
    <w:p>
      <w:r>
        <w:t>为考察初始特征质量，实验冻结骨干，只训练线性分类器，对多种 ResNet-50 预训练权重进行比较。实验记录中，常规 ImageNet 权重的线性探针 Top-1 为 64.77%，SWSL 权重为 74.62%，后者表现出更好的初始线性可分性。因此，后续引入 timm 的 resnet50.fb_swsl_ig1b_ft_in1k 权重。SWSL 指半弱监督预训练，涉及大规模外部图像及 ImageNet 微调；该变化改变初始化来源，不改变 ResNet-50 骨干结构。</w:t>
      </w:r>
    </w:p>
    <w:p>
      <w:r>
        <w:t>更强的冻结特征并未直接带来更高的微调成绩。SWSL 在未充分适配训练设置时约为 87.07%，低于原方案。后续工作的重点因此转为保护预训练表示，并寻找能够利用局部细节的训练约束。</w:t>
      </w:r>
    </w:p>
    <w:p>
      <w:pPr>
        <w:pStyle w:val="Heading2"/>
      </w:pPr>
      <w:r>
        <w:t>2.3 通过分层学习率稳定微调</w:t>
      </w:r>
    </w:p>
    <w:p>
      <w:r>
        <w:t>SWSL 初始化对学习率较敏感。诊断记录显示，直接沿用较大的骨干学习率时，损失可能停留在 ln(200)≈5.30 附近，早期验证准确率接近随机水平。与原初始化相比，其池化特征幅度明显增大，并在短时间更新后快速下降。这些现象提示特征尺度与优化设置不匹配，可能使预训练表示在分类头尚未适配时受到过强扰动。</w:t>
      </w:r>
    </w:p>
    <w:p>
      <w:r>
        <w:t>实验先降低骨干学习率，再按网络阶段分别设置更新幅度：浅层使用较小学习率，高层保留适应新任务的空间。阶段记录中，分层微调使成绩恢复至约 87.83%，与原初始化方案相当。因此，本阶段的直接结果是建立适合 SWSL 的稳定微调方式；现有实验不足以将换权重本身认定为独立增益来源。</w:t>
      </w:r>
    </w:p>
    <w:p>
      <w:pPr>
        <w:pStyle w:val="Heading2"/>
      </w:pPr>
      <w:r>
        <w:t>2.4 从局部分类转向裁剪一致性</w:t>
      </w:r>
    </w:p>
    <w:p>
      <w:r>
        <w:t>仅要求裁剪视图能够分类，不能保证整图分支在推理时充分利用同一局部信息。已有 CAM 诊断显示，预测正确和错误样本都可能关注头部等合理区域，单纯提高定位集中程度未必能够解决易混淆类别。因此，后续将重点放在整图与放大局部之间的信息利用关系上。</w:t>
      </w:r>
    </w:p>
    <w:p>
      <w:r>
        <w:t>裁剪一致性在原有整图分类损失和局部分类损失之外，增加两路预测分布的对称 KL 散度约束。局部图像提供放大后的判别细节，整图提供姿态和背景上下文，两路共享网络参数并共同优化。该阶段记录的测试 Top-1 从 87.83% 提高到 88.62%，是后期主线中最明确的阶段性进展。对其机制的解释是：一致性约束可能减小不同尺度视图之间的预测差异，促进单图分支使用局部证据；这一解释仍需要更严格的消融进一步验证。</w:t>
      </w:r>
    </w:p>
    <w:p>
      <w:pPr>
        <w:pStyle w:val="Heading2"/>
      </w:pPr>
      <w:r>
        <w:t>2.5 最终组合与其他尝试</w:t>
      </w:r>
    </w:p>
    <w:p>
      <w:r>
        <w:t>在一致性方案上，实验进一步降低 layer4 的学习率，将混合增强触发概率降至 0.7，并对未混合样本使用 0.05 的标签平滑，最后在分类头加入 0.1 的 Dropout。记录中，仅降低学习率的组合并未继续改善结果，配合保留约 30% 未混合批次后，成绩达到 89.01%；再加入 Dropout 后取得 89.10% 的记录最高值。这说明正则化与优化设置之间存在交互，收益不能直接相加。未混合批次仍包含随机裁剪和翻转，不等于未经增强的原图。</w:t>
      </w:r>
    </w:p>
    <w:p>
      <w:r>
        <w:t>此外，实验探索了区域注意力池化、NetVLAD、FPN、二阶池化、可学习注意力及特征层混合等方案。代表性成绩大多处于 84%～87% 区间，未优于当时主线，因而未纳入最终结构。基于关键点的三流方案作为额外监督对照也未取得优势。其余对 Dropout、权重衰减、混合强度、训练时长和裁剪尺度的扫描用于确定参数范围，不逐一展开。现有结果只能说明这些实现与配置下未见稳定收益，不能据此否定方法在其他设置下的有效性。</w:t>
      </w:r>
    </w:p>
    <w:p>
      <w:pPr>
        <w:pStyle w:val="Heading1"/>
      </w:pPr>
      <w:r>
        <w:t>3 最终方法与完整实验配置</w:t>
      </w:r>
    </w:p>
    <w:p>
      <w:pPr>
        <w:pStyle w:val="Heading2"/>
      </w:pPr>
      <w:r>
        <w:t>3.1 图像读取与预处理</w:t>
      </w:r>
    </w:p>
    <w:p>
      <w:r>
        <w:t>图像按 RGB 三通道读取，类别编号转换为 0～199。训练时先进行随机缩放裁剪，将原图面积的 0.5～1.0 倍作为候选裁剪区域，宽高比范围为 3/4～4/3，随后以双线性插值缩放至 448×448；再以 0.5 的概率水平翻转，转换为浮点张量并逐通道标准化。最终方案不启用 RandAugment、额外颜色扰动或 Random Erasing。</w:t>
      </w:r>
    </w:p>
    <w:p>
      <w:r>
        <w:t>标准化参数从实际骨干实例的预训练配置解析。对最终 SWSL 权重，RGB 均值为 (0.485, 0.456, 0.406)，标准差为 (0.229, 0.224, 0.225)。验证和测试采用确定性预处理：按 crop_pct=0.875 将短边缩放到 round(448/0.875)=512，再中心裁剪为 448×448，之后执行相同的张量转换和标准化。评估使用双线性插值。</w:t>
      </w:r>
    </w:p>
    <w:p>
      <w:pPr>
        <w:pStyle w:val="Heading2"/>
      </w:pPr>
      <w:r>
        <w:t>3.2 混合增强与目标标签</w:t>
      </w:r>
    </w:p>
    <w:p>
      <w:r>
        <w:t>混合增强在批次组装时进行。每个训练批次以 0.7 的概率触发混合，触发后以相同概率选择 Mixup 或 CutMix；因此期望约 35% 批次使用 Mixup、35% 使用 CutMix、30% 保持未混合。Mixup 的 Beta 分布参数为 0.2，CutMix 为 1.0，两种增强均使用批内随机配对。CutMix 的标签权重按实际贴入面积重新计算。</w:t>
      </w:r>
    </w:p>
    <w:p>
      <w:r>
        <w:t>混合图像使用两类标签线性组合得到的软目标，并以软目标交叉熵训练，不再叠加标签平滑。未混合批次使用真实类别标签及 ε=0.05 的交叉熵标签平滑。这一区别同时适用于主分类分支和最终方案的局部分类分支；最终配置未开启局部硬标签覆盖。</w:t>
      </w:r>
    </w:p>
    <w:p>
      <w:pPr>
        <w:pStyle w:val="Heading2"/>
      </w:pPr>
      <w:r>
        <w:t>3.3 网络结构</w:t>
      </w:r>
    </w:p>
    <w:p>
      <w:r>
        <w:t>骨干为 timm 的 resnet50.fb_swsl_ig1b_ft_in1k，并加载预训练权重。448 输入对应末层约 2048×14×14 的特征图，经全局平均池化得到 2048 维向量，再依次通过 Dropout(p=0.1) 和 200 类线性分类层。日志记录可训练参数约为 23.92M。骨干和分类头全程参与训练，未启用分类头 BatchNorm、随机深度、FPN、多流融合或额外可学习注意力模块。</w:t>
      </w:r>
    </w:p>
    <w:p>
      <w:r>
        <w:t>主图与局部图共用同一骨干和分类头。局部训练路径不增加独立网络参数，但需要额外前向计算。推理阶段关闭 Dropout 和局部分支，仅保留整图的 ResNet-50、全局平均池化及线性分类，因此最终方法保持标准单模型分类的推理路径。</w:t>
      </w:r>
    </w:p>
    <w:p>
      <w:pPr>
        <w:pStyle w:val="Heading2"/>
      </w:pPr>
      <w:r>
        <w:t>3.4 CAM 局部视图的构造</w:t>
      </w:r>
    </w:p>
    <w:p>
      <w:r>
        <w:t>主分支先生成末层特征图 F 和分类输出。训练时依据样本原始类别 y，使用线性分类层相应权重 Wᵧ 对特征通道加权求和，并通过 ReLU 保留正响应，形成 CAM。用于定位的特征与分类权重均不通过框选操作回传梯度。</w:t>
      </w:r>
    </w:p>
    <w:p>
      <w:pPr>
        <w:spacing w:after="140"/>
        <w:ind w:firstLine="0"/>
        <w:jc w:val="center"/>
      </w:pPr>
      <m:oMath>
        <m:sSub>
          <m:e>
            <m:r>
              <w:rPr>
                <w:rFonts w:ascii="DejaVu Math TeX Gyre" w:hAnsi="DejaVu Math TeX Gyre"/>
                <w:sz w:val="22"/>
              </w:rPr>
              <m:t xml:space="preserve">A</m:t>
            </m:r>
          </m:e>
          <m:sub>
            <m:r>
              <w:rPr>
                <w:rFonts w:ascii="DejaVu Math TeX Gyre" w:hAnsi="DejaVu Math TeX Gyre"/>
                <w:sz w:val="22"/>
              </w:rPr>
              <m:t xml:space="preserve">y</m:t>
            </m:r>
          </m:sub>
        </m:sSub>
        <m:r>
          <w:rPr>
            <w:rFonts w:ascii="DejaVu Math TeX Gyre" w:hAnsi="DejaVu Math TeX Gyre"/>
            <w:sz w:val="22"/>
          </w:rPr>
          <m:t xml:space="preserve">(u, v) = ReLU[</m:t>
        </m:r>
        <m:sSub>
          <m:e>
            <m:r>
              <w:rPr>
                <w:rFonts w:ascii="DejaVu Math TeX Gyre" w:hAnsi="DejaVu Math TeX Gyre"/>
                <w:sz w:val="22"/>
              </w:rPr>
              <m:t xml:space="preserve">∑</m:t>
            </m:r>
          </m:e>
          <m:sub>
            <m:r>
              <w:rPr>
                <w:rFonts w:ascii="DejaVu Math TeX Gyre" w:hAnsi="DejaVu Math TeX Gyre"/>
                <w:sz w:val="22"/>
              </w:rPr>
              <m:t xml:space="preserve">j</m:t>
            </m:r>
          </m:sub>
        </m:sSub>
        <m:r>
          <w:rPr>
            <w:rFonts w:ascii="DejaVu Math TeX Gyre" w:hAnsi="DejaVu Math TeX Gyre"/>
            <w:sz w:val="22"/>
          </w:rPr>
          <m:t xml:space="preserve"> </m:t>
        </m:r>
        <m:sSub>
          <m:e>
            <m:r>
              <w:rPr>
                <w:rFonts w:ascii="DejaVu Math TeX Gyre" w:hAnsi="DejaVu Math TeX Gyre"/>
                <w:sz w:val="22"/>
              </w:rPr>
              <m:t xml:space="preserve">W</m:t>
            </m:r>
          </m:e>
          <m:sub>
            <m:r>
              <w:rPr>
                <w:rFonts w:ascii="DejaVu Math TeX Gyre" w:hAnsi="DejaVu Math TeX Gyre"/>
                <w:sz w:val="22"/>
              </w:rPr>
              <m:t xml:space="preserve">yj</m:t>
            </m:r>
          </m:sub>
        </m:sSub>
        <m:r>
          <w:rPr>
            <w:rFonts w:ascii="DejaVu Math TeX Gyre" w:hAnsi="DejaVu Math TeX Gyre"/>
            <w:sz w:val="22"/>
          </w:rPr>
          <m:t xml:space="preserve"> </m:t>
        </m:r>
        <m:sSub>
          <m:e>
            <m:r>
              <w:rPr>
                <w:rFonts w:ascii="DejaVu Math TeX Gyre" w:hAnsi="DejaVu Math TeX Gyre"/>
                <w:sz w:val="22"/>
              </w:rPr>
              <m:t xml:space="preserve">F</m:t>
            </m:r>
          </m:e>
          <m:sub>
            <m:r>
              <w:rPr>
                <w:rFonts w:ascii="DejaVu Math TeX Gyre" w:hAnsi="DejaVu Math TeX Gyre"/>
                <w:sz w:val="22"/>
              </w:rPr>
              <m:t xml:space="preserve">j</m:t>
            </m:r>
          </m:sub>
        </m:sSub>
        <m:r>
          <w:rPr>
            <w:rFonts w:ascii="DejaVu Math TeX Gyre" w:hAnsi="DejaVu Math TeX Gyre"/>
            <w:sz w:val="22"/>
          </w:rPr>
          <m:t xml:space="preserve">(u, v)]</m:t>
        </m:r>
      </m:oMath>
    </w:p>
    <w:p>
      <w:r>
        <w:t>当 CAM 最大值与最小值之差不小于 0.1 时，先进行逐图 min–max 归一化，再取响应不小于 0.2 的位置；动态范围更小时，退回按原始最大响应的 0.2 倍取阈值。对保留区域求外接矩形，以中心不变的方式将框的长、宽分别扩大至 1.3 倍，并将边界限制在图像范围内。空区域回退到整图。</w:t>
      </w:r>
    </w:p>
    <w:p>
      <w:r>
        <w:t>裁剪直接作用于当前送入主分支的图像张量，之后使用双线性插值恢复到 448×448，并重新经过共享骨干和分类头。最终不启用双类别 CAM 并集、不按混合标签的多数类别重定位，也不启用第二个局部视图、擦除或四块重排。</w:t>
      </w:r>
    </w:p>
    <w:p>
      <w:r>
        <w:t>CutMix 会将一部分画面替换为其他图像内容，为减少碎片区域造成的定位与监督冲突，最终实现对 CutMix 批次跳过整个 CAM 辅助路径。未混合与 Mixup 批次正常启用局部分类和一致性约束。</w:t>
      </w:r>
    </w:p>
    <w:p>
      <w:pPr>
        <w:pStyle w:val="Heading2"/>
      </w:pPr>
      <w:r>
        <w:t>3.5 联合训练目标</w:t>
      </w:r>
    </w:p>
    <w:p>
      <w:r>
        <w:t>记整图和局部图输出为 z_m、z_c，分类损失分别为 L_cls,m 和 L_cls,c。将两路 logits 除以温度 T 后进行 softmax，得到概率分布 p_m、p_c。最终目标如下，其中两路分布均保留梯度，不采用固定教师或单向蒸馏。</w:t>
      </w:r>
    </w:p>
    <w:p>
      <w:pPr>
        <w:spacing w:after="140"/>
        <w:ind w:firstLine="0"/>
        <w:jc w:val="center"/>
      </w:pPr>
      <m:oMath>
        <m:sSub>
          <m:e>
            <m:r>
              <w:rPr>
                <w:rFonts w:ascii="DejaVu Math TeX Gyre" w:hAnsi="DejaVu Math TeX Gyre"/>
                <w:sz w:val="22"/>
              </w:rPr>
              <m:t xml:space="preserve">p</m:t>
            </m:r>
          </m:e>
          <m:sub>
            <m:r>
              <w:rPr>
                <w:rFonts w:ascii="DejaVu Math TeX Gyre" w:hAnsi="DejaVu Math TeX Gyre"/>
                <w:sz w:val="22"/>
              </w:rPr>
              <m:t xml:space="preserve">m</m:t>
            </m:r>
          </m:sub>
        </m:sSub>
        <m:r>
          <w:rPr>
            <w:rFonts w:ascii="DejaVu Math TeX Gyre" w:hAnsi="DejaVu Math TeX Gyre"/>
            <w:sz w:val="22"/>
          </w:rPr>
          <m:t xml:space="preserve"> = softmax(</m:t>
        </m:r>
        <m:sSub>
          <m:e>
            <m:r>
              <w:rPr>
                <w:rFonts w:ascii="DejaVu Math TeX Gyre" w:hAnsi="DejaVu Math TeX Gyre"/>
                <w:sz w:val="22"/>
              </w:rPr>
              <m:t xml:space="preserve">z</m:t>
            </m:r>
          </m:e>
          <m:sub>
            <m:r>
              <w:rPr>
                <w:rFonts w:ascii="DejaVu Math TeX Gyre" w:hAnsi="DejaVu Math TeX Gyre"/>
                <w:sz w:val="22"/>
              </w:rPr>
              <m:t xml:space="preserve">m</m:t>
            </m:r>
          </m:sub>
        </m:sSub>
        <m:r>
          <w:rPr>
            <w:rFonts w:ascii="DejaVu Math TeX Gyre" w:hAnsi="DejaVu Math TeX Gyre"/>
            <w:sz w:val="22"/>
          </w:rPr>
          <m:t xml:space="preserve"> / T)     </m:t>
        </m:r>
        <m:sSub>
          <m:e>
            <m:r>
              <w:rPr>
                <w:rFonts w:ascii="DejaVu Math TeX Gyre" w:hAnsi="DejaVu Math TeX Gyre"/>
                <w:sz w:val="22"/>
              </w:rPr>
              <m:t xml:space="preserve">p</m:t>
            </m:r>
          </m:e>
          <m:sub>
            <m:r>
              <w:rPr>
                <w:rFonts w:ascii="DejaVu Math TeX Gyre" w:hAnsi="DejaVu Math TeX Gyre"/>
                <w:sz w:val="22"/>
              </w:rPr>
              <m:t xml:space="preserve">c</m:t>
            </m:r>
          </m:sub>
        </m:sSub>
        <m:r>
          <w:rPr>
            <w:rFonts w:ascii="DejaVu Math TeX Gyre" w:hAnsi="DejaVu Math TeX Gyre"/>
            <w:sz w:val="22"/>
          </w:rPr>
          <m:t xml:space="preserve"> = softmax(</m:t>
        </m:r>
        <m:sSub>
          <m:e>
            <m:r>
              <w:rPr>
                <w:rFonts w:ascii="DejaVu Math TeX Gyre" w:hAnsi="DejaVu Math TeX Gyre"/>
                <w:sz w:val="22"/>
              </w:rPr>
              <m:t xml:space="preserve">z</m:t>
            </m:r>
          </m:e>
          <m:sub>
            <m:r>
              <w:rPr>
                <w:rFonts w:ascii="DejaVu Math TeX Gyre" w:hAnsi="DejaVu Math TeX Gyre"/>
                <w:sz w:val="22"/>
              </w:rPr>
              <m:t xml:space="preserve">c</m:t>
            </m:r>
          </m:sub>
        </m:sSub>
        <m:r>
          <w:rPr>
            <w:rFonts w:ascii="DejaVu Math TeX Gyre" w:hAnsi="DejaVu Math TeX Gyre"/>
            <w:sz w:val="22"/>
          </w:rPr>
          <m:t xml:space="preserve"> / T)</m:t>
        </m:r>
      </m:oMath>
    </w:p>
    <w:p>
      <w:pPr>
        <w:spacing w:after="140"/>
        <w:ind w:firstLine="0"/>
        <w:jc w:val="center"/>
      </w:pPr>
      <m:oMath>
        <m:sSub>
          <m:e>
            <m:r>
              <w:rPr>
                <w:rFonts w:ascii="DejaVu Math TeX Gyre" w:hAnsi="DejaVu Math TeX Gyre"/>
                <w:sz w:val="22"/>
              </w:rPr>
              <m:t xml:space="preserve">D</m:t>
            </m:r>
          </m:e>
          <m:sub>
            <m:r>
              <w:rPr>
                <w:rFonts w:ascii="DejaVu Math TeX Gyre" w:hAnsi="DejaVu Math TeX Gyre"/>
                <w:sz w:val="22"/>
              </w:rPr>
              <m:t xml:space="preserve">sym</m:t>
            </m:r>
          </m:sub>
        </m:sSub>
        <m:r>
          <w:rPr>
            <w:rFonts w:ascii="DejaVu Math TeX Gyre" w:hAnsi="DejaVu Math TeX Gyre"/>
            <w:sz w:val="22"/>
          </w:rPr>
          <m:t xml:space="preserve"> = ½ [</m:t>
        </m:r>
        <m:sSub>
          <m:e>
            <m:r>
              <w:rPr>
                <w:rFonts w:ascii="DejaVu Math TeX Gyre" w:hAnsi="DejaVu Math TeX Gyre"/>
                <w:sz w:val="22"/>
              </w:rPr>
              <m:t xml:space="preserve">D</m:t>
            </m:r>
          </m:e>
          <m:sub>
            <m:r>
              <w:rPr>
                <w:rFonts w:ascii="DejaVu Math TeX Gyre" w:hAnsi="DejaVu Math TeX Gyre"/>
                <w:sz w:val="22"/>
              </w:rPr>
              <m:t xml:space="preserve">KL</m:t>
            </m:r>
          </m:sub>
        </m:sSub>
        <m:r>
          <w:rPr>
            <w:rFonts w:ascii="DejaVu Math TeX Gyre" w:hAnsi="DejaVu Math TeX Gyre"/>
            <w:sz w:val="22"/>
          </w:rPr>
          <m:t xml:space="preserve">(</m:t>
        </m:r>
        <m:sSub>
          <m:e>
            <m:r>
              <w:rPr>
                <w:rFonts w:ascii="DejaVu Math TeX Gyre" w:hAnsi="DejaVu Math TeX Gyre"/>
                <w:sz w:val="22"/>
              </w:rPr>
              <m:t xml:space="preserve">p</m:t>
            </m:r>
          </m:e>
          <m:sub>
            <m:r>
              <w:rPr>
                <w:rFonts w:ascii="DejaVu Math TeX Gyre" w:hAnsi="DejaVu Math TeX Gyre"/>
                <w:sz w:val="22"/>
              </w:rPr>
              <m:t xml:space="preserve">m</m:t>
            </m:r>
          </m:sub>
        </m:sSub>
        <m:r>
          <w:rPr>
            <w:rFonts w:ascii="DejaVu Math TeX Gyre" w:hAnsi="DejaVu Math TeX Gyre"/>
            <w:sz w:val="22"/>
          </w:rPr>
          <m:t xml:space="preserve"> ∥ </m:t>
        </m:r>
        <m:sSub>
          <m:e>
            <m:r>
              <w:rPr>
                <w:rFonts w:ascii="DejaVu Math TeX Gyre" w:hAnsi="DejaVu Math TeX Gyre"/>
                <w:sz w:val="22"/>
              </w:rPr>
              <m:t xml:space="preserve">p</m:t>
            </m:r>
          </m:e>
          <m:sub>
            <m:r>
              <w:rPr>
                <w:rFonts w:ascii="DejaVu Math TeX Gyre" w:hAnsi="DejaVu Math TeX Gyre"/>
                <w:sz w:val="22"/>
              </w:rPr>
              <m:t xml:space="preserve">c</m:t>
            </m:r>
          </m:sub>
        </m:sSub>
        <m:r>
          <w:rPr>
            <w:rFonts w:ascii="DejaVu Math TeX Gyre" w:hAnsi="DejaVu Math TeX Gyre"/>
            <w:sz w:val="22"/>
          </w:rPr>
          <m:t xml:space="preserve">) + </m:t>
        </m:r>
        <m:sSub>
          <m:e>
            <m:r>
              <w:rPr>
                <w:rFonts w:ascii="DejaVu Math TeX Gyre" w:hAnsi="DejaVu Math TeX Gyre"/>
                <w:sz w:val="22"/>
              </w:rPr>
              <m:t xml:space="preserve">D</m:t>
            </m:r>
          </m:e>
          <m:sub>
            <m:r>
              <w:rPr>
                <w:rFonts w:ascii="DejaVu Math TeX Gyre" w:hAnsi="DejaVu Math TeX Gyre"/>
                <w:sz w:val="22"/>
              </w:rPr>
              <m:t xml:space="preserve">KL</m:t>
            </m:r>
          </m:sub>
        </m:sSub>
        <m:r>
          <w:rPr>
            <w:rFonts w:ascii="DejaVu Math TeX Gyre" w:hAnsi="DejaVu Math TeX Gyre"/>
            <w:sz w:val="22"/>
          </w:rPr>
          <m:t xml:space="preserve">(</m:t>
        </m:r>
        <m:sSub>
          <m:e>
            <m:r>
              <w:rPr>
                <w:rFonts w:ascii="DejaVu Math TeX Gyre" w:hAnsi="DejaVu Math TeX Gyre"/>
                <w:sz w:val="22"/>
              </w:rPr>
              <m:t xml:space="preserve">p</m:t>
            </m:r>
          </m:e>
          <m:sub>
            <m:r>
              <w:rPr>
                <w:rFonts w:ascii="DejaVu Math TeX Gyre" w:hAnsi="DejaVu Math TeX Gyre"/>
                <w:sz w:val="22"/>
              </w:rPr>
              <m:t xml:space="preserve">c</m:t>
            </m:r>
          </m:sub>
        </m:sSub>
        <m:r>
          <w:rPr>
            <w:rFonts w:ascii="DejaVu Math TeX Gyre" w:hAnsi="DejaVu Math TeX Gyre"/>
            <w:sz w:val="22"/>
          </w:rPr>
          <m:t xml:space="preserve"> ∥ </m:t>
        </m:r>
        <m:sSub>
          <m:e>
            <m:r>
              <w:rPr>
                <w:rFonts w:ascii="DejaVu Math TeX Gyre" w:hAnsi="DejaVu Math TeX Gyre"/>
                <w:sz w:val="22"/>
              </w:rPr>
              <m:t xml:space="preserve">p</m:t>
            </m:r>
          </m:e>
          <m:sub>
            <m:r>
              <w:rPr>
                <w:rFonts w:ascii="DejaVu Math TeX Gyre" w:hAnsi="DejaVu Math TeX Gyre"/>
                <w:sz w:val="22"/>
              </w:rPr>
              <m:t xml:space="preserve">m</m:t>
            </m:r>
          </m:sub>
        </m:sSub>
        <m:r>
          <w:rPr>
            <w:rFonts w:ascii="DejaVu Math TeX Gyre" w:hAnsi="DejaVu Math TeX Gyre"/>
            <w:sz w:val="22"/>
          </w:rPr>
          <m:t xml:space="preserve">)]</m:t>
        </m:r>
      </m:oMath>
    </w:p>
    <w:p>
      <w:pPr>
        <w:spacing w:after="140"/>
        <w:ind w:firstLine="0"/>
        <w:jc w:val="center"/>
      </w:pPr>
      <m:oMath>
        <m:r>
          <w:rPr>
            <w:rFonts w:ascii="DejaVu Math TeX Gyre" w:hAnsi="DejaVu Math TeX Gyre"/>
            <w:sz w:val="22"/>
          </w:rPr>
          <m:t xml:space="preserve">L = </m:t>
        </m:r>
        <m:sSub>
          <m:e>
            <m:r>
              <w:rPr>
                <w:rFonts w:ascii="DejaVu Math TeX Gyre" w:hAnsi="DejaVu Math TeX Gyre"/>
                <w:sz w:val="22"/>
              </w:rPr>
              <m:t xml:space="preserve">L</m:t>
            </m:r>
          </m:e>
          <m:sub>
            <m:r>
              <w:rPr>
                <w:rFonts w:ascii="DejaVu Math TeX Gyre" w:hAnsi="DejaVu Math TeX Gyre"/>
                <w:sz w:val="22"/>
              </w:rPr>
              <m:t xml:space="preserve">cls,m</m:t>
            </m:r>
          </m:sub>
        </m:sSub>
        <m:r>
          <w:rPr>
            <w:rFonts w:ascii="DejaVu Math TeX Gyre" w:hAnsi="DejaVu Math TeX Gyre"/>
            <w:sz w:val="22"/>
          </w:rPr>
          <m:t xml:space="preserve"> + 0.2 </m:t>
        </m:r>
        <m:sSub>
          <m:e>
            <m:r>
              <w:rPr>
                <w:rFonts w:ascii="DejaVu Math TeX Gyre" w:hAnsi="DejaVu Math TeX Gyre"/>
                <w:sz w:val="22"/>
              </w:rPr>
              <m:t xml:space="preserve">L</m:t>
            </m:r>
          </m:e>
          <m:sub>
            <m:r>
              <w:rPr>
                <w:rFonts w:ascii="DejaVu Math TeX Gyre" w:hAnsi="DejaVu Math TeX Gyre"/>
                <w:sz w:val="22"/>
              </w:rPr>
              <m:t xml:space="preserve">cls,c</m:t>
            </m:r>
          </m:sub>
        </m:sSub>
        <m:r>
          <w:rPr>
            <w:rFonts w:ascii="DejaVu Math TeX Gyre" w:hAnsi="DejaVu Math TeX Gyre"/>
            <w:sz w:val="22"/>
          </w:rPr>
          <m:t xml:space="preserve"> + 0.3 </m:t>
        </m:r>
        <m:sSup>
          <m:e>
            <m:r>
              <w:rPr>
                <w:rFonts w:ascii="DejaVu Math TeX Gyre" w:hAnsi="DejaVu Math TeX Gyre"/>
                <w:sz w:val="22"/>
              </w:rPr>
              <m:t xml:space="preserve">T</m:t>
            </m:r>
          </m:e>
          <m:sup>
            <m:r>
              <w:rPr>
                <w:rFonts w:ascii="DejaVu Math TeX Gyre" w:hAnsi="DejaVu Math TeX Gyre"/>
                <w:sz w:val="22"/>
              </w:rPr>
              <m:t xml:space="preserve">2</m:t>
            </m:r>
          </m:sup>
        </m:sSup>
        <m:r>
          <w:rPr>
            <w:rFonts w:ascii="DejaVu Math TeX Gyre" w:hAnsi="DejaVu Math TeX Gyre"/>
            <w:sz w:val="22"/>
          </w:rPr>
          <m:t xml:space="preserve"> </m:t>
        </m:r>
        <m:sSub>
          <m:e>
            <m:r>
              <w:rPr>
                <w:rFonts w:ascii="DejaVu Math TeX Gyre" w:hAnsi="DejaVu Math TeX Gyre"/>
                <w:sz w:val="22"/>
              </w:rPr>
              <m:t xml:space="preserve">D</m:t>
            </m:r>
          </m:e>
          <m:sub>
            <m:r>
              <w:rPr>
                <w:rFonts w:ascii="DejaVu Math TeX Gyre" w:hAnsi="DejaVu Math TeX Gyre"/>
                <w:sz w:val="22"/>
              </w:rPr>
              <m:t xml:space="preserve">sym</m:t>
            </m:r>
          </m:sub>
        </m:sSub>
        <m:r>
          <w:rPr>
            <w:rFonts w:ascii="DejaVu Math TeX Gyre" w:hAnsi="DejaVu Math TeX Gyre"/>
            <w:sz w:val="22"/>
          </w:rPr>
          <m:t xml:space="preserve">     T = 2</m:t>
        </m:r>
      </m:oMath>
    </w:p>
    <w:p>
      <w:r>
        <w:t>对启用局部分支的批次，两个分类损失按照第 3.2 节采用相同目标类型；对 CutMix 批次，仅计算主分支的软目标交叉熵。一致性项以 FP32 计算，先对两个方向的 KL 求平均，再乘以 T² 与权重 0.3。因而其实际实现与只写一个方向的 KL 不同。</w:t>
      </w:r>
    </w:p>
    <w:p>
      <w:r>
        <w:t>局部分类使裁剪区域本身具备判别性，一致性则进一步约束整图与局部的输出关系。该训练设计保留全局上下文，同时利用局部放大视图提供额外监督；它不要求测试阶段再次生成或使用 CAM。</w:t>
      </w:r>
    </w:p>
    <w:p>
      <w:pPr>
        <w:pStyle w:val="Heading2"/>
      </w:pPr>
      <w:r>
        <w:t>3.6 优化器与训练日程</w:t>
      </w:r>
    </w:p>
    <w:p>
      <w:r>
        <w:t>最终训练使用 AdamW，共 50 个 epoch，训练批大小为 16，验证与测试批大小为 64，随机种子为 42，数据加载工作进程数为 6。使用 BF16 混合精度以及全局梯度范数裁剪，阈值为 1.0。权重衰减为 0.05，一维参数（包括偏置和归一化参数）不施加权重衰减。AdamW 的 β₁、β₂、ε 沿用默认值 0.9、0.999、10⁻⁸。</w:t>
      </w:r>
    </w:p>
    <w:p>
      <w:pPr>
        <w:pStyle w:val="Caption"/>
        <w:keepNext/>
        <w:jc w:val="center"/>
      </w:pPr>
      <w:r>
        <w:t>表 2 各参数组的初始目标学习率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8"/>
        <w:gridCol w:w="2891"/>
        <w:gridCol w:w="2891"/>
      </w:tblGrid>
      <w:tr>
        <w:trPr>
          <w:cantSplit/>
          <w:tblHeader/>
        </w:trPr>
        <w:tc>
          <w:tcPr>
            <w:tcW w:type="dxa" w:w="3458"/>
            <w:vAlign w:val="center"/>
            <w:shd w:fill="E7EBEF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b/>
                <w:sz w:val="18"/>
              </w:rPr>
              <w:t>参数组</w:t>
            </w:r>
          </w:p>
        </w:tc>
        <w:tc>
          <w:tcPr>
            <w:tcW w:type="dxa" w:w="2891"/>
            <w:vAlign w:val="center"/>
            <w:shd w:fill="E7EBEF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b/>
                <w:sz w:val="18"/>
              </w:rPr>
              <w:t>相对分类头倍率</w:t>
            </w:r>
          </w:p>
        </w:tc>
        <w:tc>
          <w:tcPr>
            <w:tcW w:type="dxa" w:w="2891"/>
            <w:vAlign w:val="center"/>
            <w:shd w:fill="E7EBEF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b/>
                <w:sz w:val="18"/>
              </w:rPr>
              <w:t>学习率</w:t>
            </w:r>
          </w:p>
        </w:tc>
      </w:tr>
      <w:tr>
        <w:trPr>
          <w:cantSplit/>
        </w:trPr>
        <w:tc>
          <w:tcPr>
            <w:tcW w:type="dxa" w:w="3458"/>
            <w:vAlign w:val="center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Stem</w:t>
            </w:r>
          </w:p>
        </w:tc>
        <w:tc>
          <w:tcPr>
            <w:tcW w:type="dxa" w:w="2891"/>
            <w:vAlign w:val="center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0.01</w:t>
            </w:r>
          </w:p>
        </w:tc>
        <w:tc>
          <w:tcPr>
            <w:tcW w:type="dxa" w:w="2891"/>
            <w:vAlign w:val="center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1×10⁻⁵</w:t>
            </w:r>
          </w:p>
        </w:tc>
      </w:tr>
      <w:tr>
        <w:trPr>
          <w:cantSplit/>
        </w:trPr>
        <w:tc>
          <w:tcPr>
            <w:tcW w:type="dxa" w:w="3458"/>
            <w:vAlign w:val="center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Layer1</w:t>
            </w:r>
          </w:p>
        </w:tc>
        <w:tc>
          <w:tcPr>
            <w:tcW w:type="dxa" w:w="2891"/>
            <w:vAlign w:val="center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0.01</w:t>
            </w:r>
          </w:p>
        </w:tc>
        <w:tc>
          <w:tcPr>
            <w:tcW w:type="dxa" w:w="2891"/>
            <w:vAlign w:val="center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1×10⁻⁵</w:t>
            </w:r>
          </w:p>
        </w:tc>
      </w:tr>
      <w:tr>
        <w:trPr>
          <w:cantSplit/>
        </w:trPr>
        <w:tc>
          <w:tcPr>
            <w:tcW w:type="dxa" w:w="3458"/>
            <w:vAlign w:val="center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Layer2</w:t>
            </w:r>
          </w:p>
        </w:tc>
        <w:tc>
          <w:tcPr>
            <w:tcW w:type="dxa" w:w="2891"/>
            <w:vAlign w:val="center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0.03</w:t>
            </w:r>
          </w:p>
        </w:tc>
        <w:tc>
          <w:tcPr>
            <w:tcW w:type="dxa" w:w="2891"/>
            <w:vAlign w:val="center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3×10⁻⁵</w:t>
            </w:r>
          </w:p>
        </w:tc>
      </w:tr>
      <w:tr>
        <w:trPr>
          <w:cantSplit/>
        </w:trPr>
        <w:tc>
          <w:tcPr>
            <w:tcW w:type="dxa" w:w="3458"/>
            <w:vAlign w:val="center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Layer3</w:t>
            </w:r>
          </w:p>
        </w:tc>
        <w:tc>
          <w:tcPr>
            <w:tcW w:type="dxa" w:w="2891"/>
            <w:vAlign w:val="center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0.05</w:t>
            </w:r>
          </w:p>
        </w:tc>
        <w:tc>
          <w:tcPr>
            <w:tcW w:type="dxa" w:w="2891"/>
            <w:vAlign w:val="center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5×10⁻⁵</w:t>
            </w:r>
          </w:p>
        </w:tc>
      </w:tr>
      <w:tr>
        <w:trPr>
          <w:cantSplit/>
        </w:trPr>
        <w:tc>
          <w:tcPr>
            <w:tcW w:type="dxa" w:w="3458"/>
            <w:vAlign w:val="center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Layer4</w:t>
            </w:r>
          </w:p>
        </w:tc>
        <w:tc>
          <w:tcPr>
            <w:tcW w:type="dxa" w:w="2891"/>
            <w:vAlign w:val="center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0.05</w:t>
            </w:r>
          </w:p>
        </w:tc>
        <w:tc>
          <w:tcPr>
            <w:tcW w:type="dxa" w:w="2891"/>
            <w:vAlign w:val="center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5×10⁻⁵</w:t>
            </w:r>
          </w:p>
        </w:tc>
      </w:tr>
      <w:tr>
        <w:trPr>
          <w:cantSplit/>
        </w:trPr>
        <w:tc>
          <w:tcPr>
            <w:tcW w:type="dxa" w:w="3458"/>
            <w:vAlign w:val="center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b w:val="0"/>
                <w:sz w:val="18"/>
              </w:rPr>
              <w:t>线性分类头</w:t>
            </w:r>
          </w:p>
        </w:tc>
        <w:tc>
          <w:tcPr>
            <w:tcW w:type="dxa" w:w="2891"/>
            <w:vAlign w:val="center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2891"/>
            <w:vAlign w:val="center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1×10⁻³</w:t>
            </w:r>
          </w:p>
        </w:tc>
      </w:tr>
    </w:tbl>
    <w:p>
      <w:pPr>
        <w:spacing w:after="0"/>
      </w:pPr>
    </w:p>
    <w:p>
      <w:r>
        <w:t>各参数组使用同一学习率倍率曲线，前 3 个 epoch 线性预热，随后余弦退火至训练结束。配置中的 min_lr=10⁻⁶ 以分类头学习率为基准，其他参数组仍按各自倍率缩放，并非全部收敛到相同绝对学习率。最终不启用渐进解冻或学习率倍率抬升。</w:t>
      </w:r>
    </w:p>
    <w:p>
      <w:pPr>
        <w:pStyle w:val="Heading2"/>
      </w:pPr>
      <w:r>
        <w:t>3.7 后期权重平均与模型评估</w:t>
      </w:r>
    </w:p>
    <w:p>
      <w:r>
        <w:t>为减小单个 checkpoint 波动，训练同时累计三个窗口的等权平均权重。50 轮训练以零起算索引 25、30、35 为起点，对应最后 25、20、15 轮，分别保存为 swa_f0.5.pth、swa_f0.6.pth 和 swa_f0.7.pth。每份平均权重都使用训练数据重新估计 BatchNorm 运行统计，再进行验证。此处 SWA 指余弦退火训练末段的等权平均，未使用额外的循环学习率日程。</w:t>
      </w:r>
    </w:p>
    <w:p>
      <w:r>
        <w:t>实验记录的最终成绩对应 swa_f0.5.pth。best.pth 则按训练期间最高验证 Top-1 保存，属于另一种选择方式，不能与最终平均权重混用。验证集每类样本较少，单轮排序可能存在波动；多个 SWA 窗口之间的差异同样需要保留权重名称后再比较。</w:t>
      </w:r>
    </w:p>
    <w:p>
      <w:r>
        <w:t>测试仅进行一次整图前向，不使用多裁剪、多尺度、水平翻转平均或模型集成。报告以 Top-1 为主，同时区分按类别等权的宏平均准确率与样本准确率。历史 Top-1 采用批次等权平均，不能直接写成全测试集正确样本数除以总样本数，具体影响见第 5 节。</w:t>
      </w:r>
    </w:p>
    <w:p>
      <w:pPr>
        <w:pStyle w:val="Heading1"/>
      </w:pPr>
      <w:r>
        <w:t>4 实验结果与讨论</w:t>
      </w:r>
    </w:p>
    <w:p>
      <w:pPr>
        <w:pStyle w:val="Heading2"/>
      </w:pPr>
      <w:r>
        <w:t>4.1 主要结果</w:t>
      </w:r>
    </w:p>
    <w:p>
      <w:r>
        <w:t>在既定训练与推理设置下，实验记录的最高测试 Top-1 为 89.10%，距 90% 目标相差 0.90 个百分点。相对早期 224 基线的记录值 82.49%，整体提高 6.61 个百分点；相对 448 混合增强阶段的 87.17%，提高 1.93 个百分点。这些差值反映整套方案的阶段性进展，不作为单一模块的净贡献。</w:t>
      </w:r>
    </w:p>
    <w:p>
      <w:r>
        <w:t>输入分辨率首先提高了可用的视觉细节，混合增强改善了小样本条件下的正则化，CAM 局部辅助分类为网络补充了放大视图的监督。引入 SWSL 后，稳定微调成为先决条件；裁剪一致性进一步使整图和局部的预测受到共同约束，最终通过联合调整学习率与正则化获得最佳记录。</w:t>
      </w:r>
    </w:p>
    <w:p>
      <w:pPr>
        <w:pStyle w:val="Heading2"/>
      </w:pPr>
      <w:r>
        <w:t>4.2 类别差异与错误来源</w:t>
      </w:r>
    </w:p>
    <w:p>
      <w:r>
        <w:t>从保存的逐类结果看，模型对不同物种的识别能力并不均衡。例如，最终配置的 swa_f0.7 结果中，California Gull 准确率为 23.33%，Fish Crow 为 46.67%，Herring Gull 和 Common Tern 均为 56.67%，而多个类别达到 100%。这些结果说明平均分数背后仍存在明显的类别难度差异，后续应优先分析相似物种之间的混淆，而非只扩大整体模型复杂度。这里的逐类结果用于分析同一最终配置的表现，不等同于 swa_f0.5 的逐类结果。</w:t>
      </w:r>
    </w:p>
    <w:p>
      <w:r>
        <w:t>已有部位池化与三流探索未优于全局分类，说明本实验中单独突出局部区域可能同时损失姿态、轮廓或其他部位的上下文信息。最终保留整图推理、将局部视图用于训练，兼顾了这一约束。但这些观察尚不足以断言所有判别信息都位于全局，也不能证明当前结构已经达到性能上限。</w:t>
      </w:r>
    </w:p>
    <w:p>
      <w:pPr>
        <w:pStyle w:val="Heading1"/>
      </w:pPr>
      <w:r>
        <w:t>5 结果口径与实验局限</w:t>
      </w:r>
    </w:p>
    <w:p>
      <w:r>
        <w:t>89.10% 为实验记录中 swa_f0.5 的成绩。当前本地同目录的 test_results.json 保存的是 swa_f0.7，Top-1 为 88.7191%，Top-5 为 97.5446%，宏平均准确率为 88.7831%。测试脚本对同一目录重复评估会覆盖该 JSON，因此该文件不能独立复核 swa_f0.5 的 89.10%，也不能将其中 Top-5 或宏平均数值拼接为 89.10% 那次评估的完整结果。</w:t>
      </w:r>
    </w:p>
    <w:p>
      <w:r>
        <w:t>当前 evaluate 实现对各批次 Top-1 与 Top-5 等权平均；测试集 5,794 张、batch size 64 时，最后一批仅 34 张，仍与完整批次具有相同权重。按已保存的逐类正确数还原，swa_f0.7 的标准样本准确率为 5,137/5,794=88.6607%，与 JSON 的批次平均值相差约 0.0584 个百分点。本文保留历史口径下的 89.10%，不推算其标准样本准确率。</w:t>
      </w:r>
    </w:p>
    <w:p>
      <w:r>
        <w:t>各阶段主要依据单次训练，尚无多随机种子的均值和方差；部分阶段还同时调整了多个参数，测试结果也曾参与方案比较。因此，阶段性提升应视为探索性证据。当前 89.10% 是已探索设置下的最高记录，不代表独立锁定测试协议下的泛化估计，也不足以证明达到 ResNet-50 与 448 输入的上限。</w:t>
      </w:r>
    </w:p>
    <w:p>
      <w:pPr>
        <w:pStyle w:val="Heading1"/>
      </w:pPr>
      <w:r>
        <w:t>6 结论</w:t>
      </w:r>
    </w:p>
    <w:p>
      <w:r>
        <w:t>本实验形成了以高分辨率输入、稳定的分层微调和裁剪一致性为核心的细粒度分类方案。在保持 ResNet-50 单模型整图推理的条件下，实验记录成绩由 82.49% 提高至 89.10%。最终方法不依赖额外部位标注，局部裁剪与一致性约束仅存在于训练阶段。</w:t>
      </w:r>
    </w:p>
    <w:p>
      <w:r>
        <w:t>后续应首先统一为按样本计数的指标，固定模型选择规则并进行多种子复验；再在相同预训练权重、训练配置和 SWA 窗口下，分别关闭局部分类与一致性项，完成严格消融。同时需要在原 ImageNet 初始化上验证相同的一致性方案，进一步区分预训练与训练约束的作用。更高分辨率、测试增强和集成可作为后续扩展，但应独立报告其新增推理成本。</w:t>
      </w:r>
    </w:p>
    <w:p>
      <w:pPr>
        <w:pStyle w:val="Heading1"/>
      </w:pPr>
      <w:r>
        <w:t>附录 复现设置与记录索引</w:t>
      </w:r>
    </w:p>
    <w:p>
      <w:pPr>
        <w:spacing w:line="288" w:lineRule="auto"/>
        <w:ind w:firstLine="0"/>
      </w:pPr>
      <w:r>
        <w:rPr>
          <w:sz w:val="18"/>
        </w:rPr>
        <w:t>复现时直接使用最终运行落盘的完整配置，避免遗漏 batch size 16、训练 50 轮等设置。以下命令仅覆盖新实验名称，其余参数均来自该配置快照。数据目录为 data/CUB-200-2011。</w:t>
      </w:r>
    </w:p>
    <w:p>
      <w:pPr>
        <w:pStyle w:val="NoSpacing"/>
        <w:keepNext/>
      </w:pPr>
      <w:r>
        <w:t>export HF_ENDPOINT=https://hf-mirror.com</w:t>
      </w:r>
    </w:p>
    <w:p>
      <w:pPr>
        <w:pStyle w:val="NoSpacing"/>
        <w:keepNext/>
      </w:pPr>
      <w:r>
        <w:t>python train.py --config \</w:t>
      </w:r>
    </w:p>
    <w:p>
      <w:pPr>
        <w:pStyle w:val="NoSpacing"/>
        <w:keepNext/>
      </w:pPr>
      <w:r>
        <w:t xml:space="preserve">  outputs/swsl_448_best_drop10/20261021-183543/config.yaml \</w:t>
      </w:r>
    </w:p>
    <w:p>
      <w:pPr>
        <w:pStyle w:val="NoSpacing"/>
        <w:keepNext/>
      </w:pPr>
      <w:r>
        <w:t xml:space="preserve">  --set EXP_NAME=reproduce_final</w:t>
      </w:r>
    </w:p>
    <w:p>
      <w:pPr>
        <w:pStyle w:val="NoSpacing"/>
        <w:keepNext/>
      </w:pPr>
      <w:r>
        <w:t>python test.py --checkpoint \</w:t>
      </w:r>
    </w:p>
    <w:p>
      <w:pPr>
        <w:pStyle w:val="NoSpacing"/>
        <w:keepNext w:val="0"/>
      </w:pPr>
      <w:r>
        <w:t xml:space="preserve">  outputs/reproduce_final/&lt;时间戳&gt;/swa_f0.5.pth</w:t>
      </w:r>
    </w:p>
    <w:p>
      <w:pPr>
        <w:spacing w:line="288" w:lineRule="auto"/>
        <w:ind w:firstLine="0"/>
      </w:pPr>
      <w:r>
        <w:rPr>
          <w:sz w:val="18"/>
        </w:rPr>
        <w:t>配置各项含义见本报告第 3 节。既有评估命令沿用批次平均口径；正式复验时需保存按样本累计的正确数，并为各权重分别保存结果。新训练受随机性和环境影响，不保证得到完全相同的成绩。</w:t>
      </w:r>
    </w:p>
    <w:p>
      <w:pPr>
        <w:spacing w:line="288" w:lineRule="auto"/>
        <w:ind w:firstLine="0"/>
      </w:pPr>
      <w:r>
        <w:rPr>
          <w:sz w:val="18"/>
        </w:rPr>
        <w:t>记录索引：阶段路线与 89.10% 成绩见 EXPERIMENT_LOG.md；最终生效配置见 outputs/swsl_448_best_drop10/20261021-183543/config.yaml，训练过程见同目录 log.txt，当前保存的评估结果见同目录 test_results.json。实现对应 dataset/transforms.py、dataset/mixup.py、model/cam_aug.py、engine/build.py 与 engine/trainer.py。</w:t>
      </w:r>
    </w:p>
    <w:sectPr w:rsidR="00FC693F" w:rsidRPr="0006063C" w:rsidSect="00034616">
      <w:footerReference w:type="default" r:id="rId9"/>
      <w:pgSz w:w="11906" w:h="16838"/>
      <w:pgMar w:top="1191" w:right="1332" w:bottom="1134" w:left="1332" w:header="72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80" w:lineRule="exact" w:after="100"/>
      <w:ind w:firstLine="440"/>
    </w:pPr>
    <w:rPr>
      <w:rFonts w:ascii="Times New Roman" w:hAnsi="Times New Roman" w:eastAsia="Noto Serif CJK SC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40"/>
      <w:ind w:firstLine="0"/>
      <w:outlineLvl w:val="0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40"/>
      <w:ind w:firstLine="0"/>
      <w:outlineLvl w:val="1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76" w:lineRule="auto"/>
      <w:ind w:firstLine="0"/>
    </w:pPr>
    <w:rPr>
      <w:rFonts w:ascii="Times New Roman" w:hAnsi="Times New Roman" w:eastAsia="Noto Sans Mono CJK SC"/>
      <w:b w:val="0"/>
      <w:color w:val="000000"/>
      <w:sz w:val="17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0"/>
      <w:ind w:firstLine="0"/>
      <w:contextualSpacing/>
    </w:pPr>
    <w:rPr>
      <w:rFonts w:asciiTheme="majorHAnsi" w:eastAsiaTheme="majorEastAsia" w:hAnsiTheme="majorHAnsi" w:cstheme="majorBidi" w:ascii="Times New Roman" w:hAnsi="Times New Roman" w:eastAsia="Noto Sans CJK SC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100" w:line="380" w:lineRule="exact"/>
      <w:ind w:firstLine="440"/>
    </w:pPr>
    <w:rPr>
      <w:rFonts w:ascii="Times New Roman" w:hAnsi="Times New Roman" w:eastAsia="Noto Serif CJK SC"/>
      <w:b w:val="0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00"/>
      <w:ind w:firstLine="0"/>
    </w:pPr>
    <w:rPr>
      <w:rFonts w:ascii="Times New Roman" w:hAnsi="Times New Roman" w:eastAsia="Noto Serif CJK SC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CUB200细粒度鸟类分类实验报告</dc:title>
  <dc:subject>实验路线 最终方法 完整配置 结果与局限</dc:subject>
  <dc:creator/>
  <cp:keywords>CUB-200-2011 ResNet-50 CAM consistency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