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43F6" w14:textId="77777777" w:rsidR="00234007" w:rsidRPr="00CF14F3" w:rsidRDefault="00234007" w:rsidP="00234007">
      <w:pPr>
        <w:jc w:val="center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Условия депозитного договора</w:t>
      </w:r>
    </w:p>
    <w:p w14:paraId="25EFECF1" w14:textId="77777777" w:rsidR="00234007" w:rsidRPr="00CF14F3" w:rsidRDefault="00234007" w:rsidP="00234007">
      <w:pPr>
        <w:jc w:val="both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При открытии депозитного счета между банком и гражданином заключается договор. В соглашении прописываются условия, которые соблюдаются клиентом и финансовой организацией.</w:t>
      </w:r>
    </w:p>
    <w:p w14:paraId="1B8E8F1F" w14:textId="77777777" w:rsidR="00234007" w:rsidRPr="00CF14F3" w:rsidRDefault="00234007" w:rsidP="00234007">
      <w:pPr>
        <w:jc w:val="both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В бумаге фиксируются следующие условия депозитного вклада:</w:t>
      </w:r>
    </w:p>
    <w:p w14:paraId="47154C7D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параметры выбранного </w:t>
      </w:r>
      <w:hyperlink r:id="rId5" w:tgtFrame="_blank" w:history="1">
        <w:r w:rsidRPr="00CF14F3">
          <w:rPr>
            <w:rStyle w:val="a7"/>
            <w:rFonts w:ascii="Times New Roman" w:hAnsi="Times New Roman" w:cs="Times New Roman"/>
            <w:i w:val="0"/>
            <w:iCs w:val="0"/>
            <w:color w:val="auto"/>
          </w:rPr>
          <w:t>банковского вклада</w:t>
        </w:r>
      </w:hyperlink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;</w:t>
      </w:r>
    </w:p>
    <w:p w14:paraId="1724220B" w14:textId="1570E54A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порядок начисления процентов;</w:t>
      </w:r>
    </w:p>
    <w:p w14:paraId="603AB02C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Style w:val="a7"/>
          <w:rFonts w:ascii="Times New Roman" w:hAnsi="Times New Roman" w:cs="Times New Roman"/>
          <w:i w:val="0"/>
          <w:iCs w:val="0"/>
          <w:color w:val="auto"/>
        </w:rPr>
      </w:pPr>
      <w:r w:rsidRPr="00CF14F3">
        <w:rPr>
          <w:rStyle w:val="a7"/>
          <w:rFonts w:ascii="Times New Roman" w:hAnsi="Times New Roman" w:cs="Times New Roman"/>
          <w:i w:val="0"/>
          <w:iCs w:val="0"/>
          <w:color w:val="auto"/>
        </w:rPr>
        <w:t>наличие либо отсутствие пролонгации;</w:t>
      </w:r>
    </w:p>
    <w:p w14:paraId="46858052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разрешены либо ограничены расходные финансовые операции;</w:t>
      </w:r>
    </w:p>
    <w:p w14:paraId="0A9898B1" w14:textId="71A73395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права и обязанности сторон соглашения в соответствии с требованиями Центрального банка, федеральных законодательств и другой нормативной документации;</w:t>
      </w:r>
    </w:p>
    <w:p w14:paraId="1B267C0B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порядок разрешения спорных вопросов;</w:t>
      </w:r>
    </w:p>
    <w:p w14:paraId="2E717F40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правила досрочного расторжения финансового соглашения;</w:t>
      </w:r>
    </w:p>
    <w:p w14:paraId="532B7824" w14:textId="77777777" w:rsidR="00234007" w:rsidRPr="00CF14F3" w:rsidRDefault="00234007" w:rsidP="00234007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при наличии </w:t>
      </w:r>
      <w:hyperlink r:id="rId6" w:tgtFrame="_blank" w:history="1">
        <w:r w:rsidRPr="00CF14F3">
          <w:rPr>
            <w:rStyle w:val="a4"/>
            <w:rFonts w:ascii="Times New Roman" w:hAnsi="Times New Roman" w:cs="Times New Roman"/>
            <w:color w:val="auto"/>
            <w:u w:val="none"/>
          </w:rPr>
          <w:t>мультивалютного вклада</w:t>
        </w:r>
      </w:hyperlink>
      <w:r w:rsidRPr="00CF14F3">
        <w:rPr>
          <w:rFonts w:ascii="Times New Roman" w:hAnsi="Times New Roman" w:cs="Times New Roman"/>
        </w:rPr>
        <w:t> указывается порядок выполнения конвертации.</w:t>
      </w:r>
    </w:p>
    <w:p w14:paraId="45ACD844" w14:textId="77777777" w:rsidR="00234007" w:rsidRPr="00CF14F3" w:rsidRDefault="00234007" w:rsidP="00234007">
      <w:p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Необходимо тщательно изучить условия соглашения, проверить наличие специальных комиссий от банка либо ограничений опций вклада, возможные штрафы за снятие денег. При необходимости можно заказать анализ документа у специалистов.</w:t>
      </w:r>
    </w:p>
    <w:p w14:paraId="12F184B8" w14:textId="77777777" w:rsidR="00234007" w:rsidRPr="00CF14F3" w:rsidRDefault="00234007" w:rsidP="00234007">
      <w:p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Договор составляется в 2 экземплярах. Заполненный документ подписывается двумя сторонами. Один вариант бумаги передают клиенту, второй хранится в финансовой организации.</w:t>
      </w:r>
    </w:p>
    <w:p w14:paraId="185715C6" w14:textId="0D6B78B8" w:rsidR="00A16978" w:rsidRPr="00CF14F3" w:rsidRDefault="00234007" w:rsidP="00234007">
      <w:p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Пример заполнения депозитарного вклада предлагается финансовыми организациями на официальных сайтах. Образцы заполненных бумаг размещают в разделе «Документы».</w:t>
      </w:r>
    </w:p>
    <w:p w14:paraId="2300D0CC" w14:textId="77777777" w:rsidR="00234007" w:rsidRPr="00CF14F3" w:rsidRDefault="00234007" w:rsidP="00234007">
      <w:pPr>
        <w:jc w:val="center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В бумаге должна быть указана следующая информация:</w:t>
      </w:r>
    </w:p>
    <w:p w14:paraId="7156DE80" w14:textId="77777777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В шапке документа указывается название бумаги, порядковая нумерация.</w:t>
      </w:r>
    </w:p>
    <w:p w14:paraId="2CA2BDC7" w14:textId="77777777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На первых страницах соглашения указывается дата подписания бумаги и сведения о банковской организации и физлице. Обязательно указание финансовой компании, должностного лица от банковской структуры. Вписывается ФИО гражданина, размещающего вклад, паспортные сведения, данные о прописке, адрес фактического проживания и телефон.</w:t>
      </w:r>
    </w:p>
    <w:p w14:paraId="7A5736B5" w14:textId="77777777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В следующих блоках описываются условия соглашения. Пишется размер сбережений, передаваемых финансовой организации.</w:t>
      </w:r>
    </w:p>
    <w:p w14:paraId="7EDABF87" w14:textId="53483D9F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В отдельном блоке указывают период действия соглашения и планируемые к выплате проценты.</w:t>
      </w:r>
    </w:p>
    <w:p w14:paraId="28F28EF6" w14:textId="37863C15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Обязательно подтверждение выполнения обязательств банковской организацией по переводу вложенных средств клиенту.</w:t>
      </w:r>
    </w:p>
    <w:p w14:paraId="7C634303" w14:textId="77777777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В отдельном разделе описывают правила начисления процентов на вклад.</w:t>
      </w:r>
    </w:p>
    <w:p w14:paraId="070ECD85" w14:textId="77777777" w:rsidR="00234007" w:rsidRPr="00CF14F3" w:rsidRDefault="00234007" w:rsidP="0023400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По соглашению вкладчик должен будет перевести указанную сумму в зафиксированную дату на счет банка. После этого банком будут выданы подтверждающие перевод суммы документы.</w:t>
      </w:r>
    </w:p>
    <w:p w14:paraId="5DEF0B81" w14:textId="77777777" w:rsidR="00234007" w:rsidRPr="00CF14F3" w:rsidRDefault="00234007" w:rsidP="00234007">
      <w:p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При подготовке бумаги и выполнении операций необходимо учитывать следующие нюансы:</w:t>
      </w:r>
    </w:p>
    <w:p w14:paraId="369949CD" w14:textId="77777777" w:rsidR="00234007" w:rsidRPr="00CF14F3" w:rsidRDefault="00234007" w:rsidP="0023400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При оформлении бумаги можно корректировать образец документа в соответствии с требованиями заказчика и банковской организации.</w:t>
      </w:r>
    </w:p>
    <w:p w14:paraId="31B11391" w14:textId="77777777" w:rsidR="00234007" w:rsidRPr="00CF14F3" w:rsidRDefault="00234007" w:rsidP="0023400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При отсутствии реквизитных сведений документ признают недействующим.</w:t>
      </w:r>
    </w:p>
    <w:p w14:paraId="71487033" w14:textId="77777777" w:rsidR="00234007" w:rsidRPr="00CF14F3" w:rsidRDefault="00234007" w:rsidP="00234007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F14F3">
        <w:rPr>
          <w:rFonts w:ascii="Times New Roman" w:hAnsi="Times New Roman" w:cs="Times New Roman"/>
        </w:rPr>
        <w:t>Требуется соблюдать нормы делопроизводства для предотвращения признания бумаги недействительной.</w:t>
      </w:r>
    </w:p>
    <w:p w14:paraId="6F02DEFE" w14:textId="77777777" w:rsidR="00234007" w:rsidRDefault="00234007"/>
    <w:sectPr w:rsidR="00234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D6"/>
    <w:multiLevelType w:val="multilevel"/>
    <w:tmpl w:val="9184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46D74"/>
    <w:multiLevelType w:val="multilevel"/>
    <w:tmpl w:val="9AA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B47DD"/>
    <w:multiLevelType w:val="hybridMultilevel"/>
    <w:tmpl w:val="5442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6F17"/>
    <w:multiLevelType w:val="hybridMultilevel"/>
    <w:tmpl w:val="4734F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7536A"/>
    <w:multiLevelType w:val="hybridMultilevel"/>
    <w:tmpl w:val="832A6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2364C"/>
    <w:multiLevelType w:val="multilevel"/>
    <w:tmpl w:val="75DA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78"/>
    <w:rsid w:val="00234007"/>
    <w:rsid w:val="004B42E2"/>
    <w:rsid w:val="00A16978"/>
    <w:rsid w:val="00C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B418"/>
  <w15:chartTrackingRefBased/>
  <w15:docId w15:val="{74D2BAE3-D923-46BE-BDDF-79F87E90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40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697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0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x-style-bold">
    <w:name w:val="box-style-bold"/>
    <w:basedOn w:val="a0"/>
    <w:rsid w:val="00234007"/>
  </w:style>
  <w:style w:type="paragraph" w:styleId="a5">
    <w:name w:val="Subtitle"/>
    <w:basedOn w:val="a"/>
    <w:next w:val="a"/>
    <w:link w:val="a6"/>
    <w:uiPriority w:val="11"/>
    <w:qFormat/>
    <w:rsid w:val="002340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34007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23400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23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ategy4you.ru/vklad/multivalyutnyj-vklad.html" TargetMode="External"/><Relationship Id="rId5" Type="http://schemas.openxmlformats.org/officeDocument/2006/relationships/hyperlink" Target="https://strategy4you.ru/vklad/depozit-e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2021-10-10T15:33:00Z</dcterms:created>
  <dcterms:modified xsi:type="dcterms:W3CDTF">2021-10-10T16:40:00Z</dcterms:modified>
</cp:coreProperties>
</file>