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6F4" w:rsidRPr="00C246F4" w:rsidRDefault="00C246F4" w:rsidP="0045432E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b/>
          <w:color w:val="000000"/>
          <w:kern w:val="0"/>
          <w:sz w:val="20"/>
          <w:szCs w:val="20"/>
        </w:rPr>
      </w:pPr>
      <w:r w:rsidRPr="00C246F4">
        <w:rPr>
          <w:rFonts w:ascii="Times New Roman" w:eastAsia="ScalaSansLF-Regular" w:hAnsi="Times New Roman" w:cs="Times New Roman" w:hint="eastAsia"/>
          <w:b/>
          <w:color w:val="000000"/>
          <w:kern w:val="0"/>
          <w:sz w:val="20"/>
          <w:szCs w:val="20"/>
        </w:rPr>
        <w:t>正文</w:t>
      </w:r>
    </w:p>
    <w:p w:rsidR="00C246F4" w:rsidRDefault="00C246F4" w:rsidP="00C246F4">
      <w:p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89673D">
        <w:rPr>
          <w:rFonts w:ascii="Times New Roman" w:hAnsi="Times New Roman" w:cs="Times New Roman"/>
          <w:kern w:val="0"/>
          <w:sz w:val="20"/>
          <w:szCs w:val="20"/>
        </w:rPr>
        <w:t xml:space="preserve">To 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further 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 xml:space="preserve">clearly quantify the hydrophobicity, a theoretical model was </w:t>
      </w:r>
      <w:r>
        <w:rPr>
          <w:rFonts w:ascii="Times New Roman" w:hAnsi="Times New Roman" w:cs="Times New Roman"/>
          <w:kern w:val="0"/>
          <w:sz w:val="20"/>
          <w:szCs w:val="20"/>
        </w:rPr>
        <w:t>constructed (Figure S4</w:t>
      </w:r>
      <w:r>
        <w:rPr>
          <w:rFonts w:ascii="Times New Roman" w:hAnsi="Times New Roman" w:cs="Times New Roman" w:hint="eastAsia"/>
          <w:kern w:val="0"/>
          <w:sz w:val="20"/>
          <w:szCs w:val="20"/>
        </w:rPr>
        <w:t>)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. </w:t>
      </w:r>
      <w:r w:rsidRPr="00FC4875">
        <w:rPr>
          <w:rFonts w:ascii="Times New Roman" w:hAnsi="Times New Roman" w:cs="Times New Roman"/>
          <w:kern w:val="0"/>
          <w:sz w:val="20"/>
          <w:szCs w:val="20"/>
        </w:rPr>
        <w:t>With the hydrogen bonding and the repulsion interaction between water molecule and other groups taken into considerations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r>
        <w:rPr>
          <w:rFonts w:ascii="Times New Roman" w:hAnsi="Times New Roman" w:cs="Times New Roman" w:hint="eastAsia"/>
          <w:kern w:val="0"/>
          <w:sz w:val="20"/>
          <w:szCs w:val="20"/>
        </w:rPr>
        <w:t>differen</w:t>
      </w:r>
      <w:r>
        <w:rPr>
          <w:rFonts w:ascii="Times New Roman" w:hAnsi="Times New Roman" w:cs="Times New Roman"/>
          <w:kern w:val="0"/>
          <w:sz w:val="20"/>
          <w:szCs w:val="20"/>
        </w:rPr>
        <w:t>t water molecule adsorption sites on perovskite surface were investigated (See details in supporting information)</w:t>
      </w:r>
      <w:r w:rsidR="00E92BEF">
        <w:rPr>
          <w:rFonts w:ascii="Times New Roman" w:hAnsi="Times New Roman" w:cs="Times New Roman"/>
          <w:kern w:val="0"/>
          <w:sz w:val="20"/>
          <w:szCs w:val="20"/>
        </w:rPr>
        <w:t>, and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 the 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>primary steric stabilization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 xml:space="preserve">coefficient </w:t>
      </w:r>
      <w:r>
        <w:rPr>
          <w:rFonts w:ascii="Times New Roman" w:hAnsi="Times New Roman" w:cs="Times New Roman"/>
          <w:kern w:val="0"/>
          <w:sz w:val="20"/>
          <w:szCs w:val="20"/>
        </w:rPr>
        <w:t>(PS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SC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) and 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>secondary steric stabilization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 xml:space="preserve">coefficient </w:t>
      </w:r>
      <w:r>
        <w:rPr>
          <w:rFonts w:ascii="Times New Roman" w:hAnsi="Times New Roman" w:cs="Times New Roman"/>
          <w:kern w:val="0"/>
          <w:sz w:val="20"/>
          <w:szCs w:val="20"/>
        </w:rPr>
        <w:t>(SS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S</w:t>
      </w:r>
      <w:r>
        <w:rPr>
          <w:rFonts w:ascii="Times New Roman" w:hAnsi="Times New Roman" w:cs="Times New Roman"/>
          <w:kern w:val="0"/>
          <w:sz w:val="20"/>
          <w:szCs w:val="20"/>
        </w:rPr>
        <w:t>C)</w:t>
      </w:r>
      <w:r w:rsidR="00E92BEF">
        <w:rPr>
          <w:rFonts w:ascii="Times New Roman" w:hAnsi="Times New Roman" w:cs="Times New Roman"/>
          <w:kern w:val="0"/>
          <w:sz w:val="20"/>
          <w:szCs w:val="20"/>
        </w:rPr>
        <w:t xml:space="preserve"> were introduced here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 to </w:t>
      </w:r>
      <w:r w:rsidR="003E0BC9">
        <w:rPr>
          <w:rFonts w:ascii="Times New Roman" w:hAnsi="Times New Roman" w:cs="Times New Roman"/>
          <w:kern w:val="0"/>
          <w:sz w:val="20"/>
          <w:szCs w:val="20"/>
        </w:rPr>
        <w:t>quantify the hydrophobicity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 xml:space="preserve">. </w:t>
      </w:r>
      <w:r w:rsidR="00420AA0">
        <w:rPr>
          <w:rFonts w:ascii="Times New Roman" w:hAnsi="Times New Roman" w:cs="Times New Roman"/>
          <w:kern w:val="0"/>
          <w:sz w:val="20"/>
          <w:szCs w:val="20"/>
        </w:rPr>
        <w:t xml:space="preserve">The PSSC is defined as the </w:t>
      </w:r>
      <w:r w:rsidR="00420AA0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decreasing possibility of water adsorption due to the existence of methyl group, and SSSC is defined as the decreasing possibility of water adsorption due to the existence of i</w:t>
      </w:r>
      <w:r w:rsidR="003E0BC9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odine ions.</w:t>
      </w:r>
      <w:r w:rsidR="00420AA0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E92BEF">
        <w:rPr>
          <w:rFonts w:ascii="Times New Roman" w:hAnsi="Times New Roman" w:cs="Times New Roman"/>
          <w:kern w:val="0"/>
          <w:sz w:val="20"/>
          <w:szCs w:val="20"/>
        </w:rPr>
        <w:t xml:space="preserve">The effect of PSSC is much stronger than SSSC due to the stronger chemical bond of carbon and nitrogen than hydrogen bond of iodine ion and water molecule. 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T</w:t>
      </w:r>
      <w:r>
        <w:rPr>
          <w:rFonts w:ascii="Times New Roman" w:hAnsi="Times New Roman" w:cs="Times New Roman" w:hint="eastAsia"/>
          <w:kern w:val="0"/>
          <w:sz w:val="20"/>
          <w:szCs w:val="20"/>
        </w:rPr>
        <w:t xml:space="preserve">he results were list in Table S4, </w:t>
      </w:r>
      <w:r>
        <w:rPr>
          <w:rFonts w:ascii="Times New Roman" w:hAnsi="Times New Roman" w:cs="Times New Roman"/>
          <w:kern w:val="0"/>
          <w:sz w:val="20"/>
          <w:szCs w:val="20"/>
        </w:rPr>
        <w:t>the values of PS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S</w:t>
      </w:r>
      <w:r>
        <w:rPr>
          <w:rFonts w:ascii="Times New Roman" w:hAnsi="Times New Roman" w:cs="Times New Roman"/>
          <w:kern w:val="0"/>
          <w:sz w:val="20"/>
          <w:szCs w:val="20"/>
        </w:rPr>
        <w:t>C and SS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S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C 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 xml:space="preserve">for </w:t>
      </w:r>
      <w:r>
        <w:rPr>
          <w:rFonts w:ascii="Times New Roman" w:hAnsi="Times New Roman" w:cs="Times New Roman"/>
          <w:kern w:val="0"/>
          <w:sz w:val="20"/>
          <w:szCs w:val="20"/>
        </w:rPr>
        <w:t>D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 xml:space="preserve">MA 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were 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>0.250 and 0.592</w:t>
      </w:r>
      <w:r>
        <w:rPr>
          <w:rFonts w:ascii="Times New Roman" w:hAnsi="Times New Roman" w:cs="Times New Roman"/>
          <w:kern w:val="0"/>
          <w:sz w:val="20"/>
          <w:szCs w:val="20"/>
        </w:rPr>
        <w:t>, respectively, which were larger than that for MA (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>0.216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 for </w:t>
      </w:r>
      <w:r w:rsidRPr="0089673D">
        <w:rPr>
          <w:rFonts w:ascii="Times New Roman" w:hAnsi="Times New Roman" w:cs="Times New Roman"/>
          <w:kern w:val="0"/>
          <w:sz w:val="20"/>
          <w:szCs w:val="20"/>
        </w:rPr>
        <w:t>and 0.522</w:t>
      </w:r>
      <w:r>
        <w:rPr>
          <w:rFonts w:ascii="Times New Roman" w:hAnsi="Times New Roman" w:cs="Times New Roman"/>
          <w:kern w:val="0"/>
          <w:sz w:val="20"/>
          <w:szCs w:val="20"/>
        </w:rPr>
        <w:t>). The increased P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S</w:t>
      </w:r>
      <w:r>
        <w:rPr>
          <w:rFonts w:ascii="Times New Roman" w:hAnsi="Times New Roman" w:cs="Times New Roman"/>
          <w:kern w:val="0"/>
          <w:sz w:val="20"/>
          <w:szCs w:val="20"/>
        </w:rPr>
        <w:t>SC and SS</w:t>
      </w:r>
      <w:r w:rsidR="00753847">
        <w:rPr>
          <w:rFonts w:ascii="Times New Roman" w:hAnsi="Times New Roman" w:cs="Times New Roman"/>
          <w:kern w:val="0"/>
          <w:sz w:val="20"/>
          <w:szCs w:val="20"/>
        </w:rPr>
        <w:t>S</w:t>
      </w:r>
      <w:r>
        <w:rPr>
          <w:rFonts w:ascii="Times New Roman" w:hAnsi="Times New Roman" w:cs="Times New Roman"/>
          <w:kern w:val="0"/>
          <w:sz w:val="20"/>
          <w:szCs w:val="20"/>
        </w:rPr>
        <w:t>C denote the good moisture resistance.</w:t>
      </w:r>
    </w:p>
    <w:p w:rsidR="00C246F4" w:rsidRPr="00C246F4" w:rsidRDefault="00C246F4" w:rsidP="0045432E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b/>
          <w:color w:val="000000"/>
          <w:kern w:val="0"/>
          <w:sz w:val="16"/>
          <w:szCs w:val="16"/>
        </w:rPr>
      </w:pPr>
    </w:p>
    <w:p w:rsidR="00A258FF" w:rsidRPr="00C246F4" w:rsidRDefault="00A258FF" w:rsidP="0045432E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b/>
          <w:color w:val="000000"/>
          <w:kern w:val="0"/>
          <w:sz w:val="20"/>
          <w:szCs w:val="20"/>
        </w:rPr>
      </w:pPr>
      <w:r w:rsidRPr="00C246F4">
        <w:rPr>
          <w:rFonts w:ascii="Times New Roman" w:eastAsia="ScalaSansLF-Regular" w:hAnsi="Times New Roman" w:cs="Times New Roman" w:hint="eastAsia"/>
          <w:b/>
          <w:color w:val="000000"/>
          <w:kern w:val="0"/>
          <w:sz w:val="20"/>
          <w:szCs w:val="20"/>
        </w:rPr>
        <w:t>S</w:t>
      </w:r>
      <w:r w:rsidRPr="00C246F4">
        <w:rPr>
          <w:rFonts w:ascii="Times New Roman" w:eastAsia="ScalaSansLF-Regular" w:hAnsi="Times New Roman" w:cs="Times New Roman"/>
          <w:b/>
          <w:color w:val="000000"/>
          <w:kern w:val="0"/>
          <w:sz w:val="20"/>
          <w:szCs w:val="20"/>
        </w:rPr>
        <w:t>I</w:t>
      </w:r>
    </w:p>
    <w:p w:rsidR="0045432E" w:rsidRPr="00C246F4" w:rsidRDefault="00251254" w:rsidP="0045432E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</w:pPr>
      <w:r w:rsidRPr="00C246F4">
        <w:rPr>
          <w:rFonts w:ascii="Times New Roman" w:eastAsia="ScalaSansLF-Regular" w:hAnsi="Times New Roman" w:cs="Times New Roman"/>
          <w:b/>
          <w:color w:val="000000"/>
          <w:kern w:val="0"/>
          <w:sz w:val="20"/>
          <w:szCs w:val="20"/>
        </w:rPr>
        <w:t>The primary and secondary steric stabilization coefficient calculation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. To clearly quantify the hydrophobicity, a theoretical model </w:t>
      </w:r>
      <w:r w:rsidR="00234ECD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with the hydrogen bonding and the repulsion interaction between water molecule and other groups taken into considerations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was set as following. Firstly, the adsorption area for hydrogen atoms attached to the </w:t>
      </w:r>
      <w:bookmarkStart w:id="0" w:name="OLE_LINK26"/>
      <w:bookmarkStart w:id="1" w:name="OLE_LINK27"/>
      <w:bookmarkStart w:id="2" w:name="OLE_LINK28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amino group</w:t>
      </w:r>
      <w:bookmarkEnd w:id="0"/>
      <w:bookmarkEnd w:id="1"/>
      <w:bookmarkEnd w:id="2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was constructed </w:t>
      </w:r>
      <w:r w:rsidR="00234ECD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using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the distance of hydrogen bonding between amino group and water molecule</w:t>
      </w:r>
      <w:r w:rsidR="00234ECD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as radius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, and the </w:t>
      </w:r>
      <w:bookmarkStart w:id="3" w:name="OLE_LINK15"/>
      <w:bookmarkStart w:id="4" w:name="OLE_LINK16"/>
      <w:bookmarkStart w:id="5" w:name="OLE_LINK17"/>
      <w:bookmarkStart w:id="6" w:name="OLE_LINK18"/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superficial</w:t>
      </w:r>
      <w:bookmarkEnd w:id="3"/>
      <w:bookmarkEnd w:id="4"/>
      <w:bookmarkEnd w:id="5"/>
      <w:bookmarkEnd w:id="6"/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area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of the constructed area represents the</w:t>
      </w:r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total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possible adsorption area if the water molecule was adsorbed by the amino group. We use S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  <w:vertAlign w:val="subscript"/>
        </w:rPr>
        <w:t>NH2/NH3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to describe the </w:t>
      </w:r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superficial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area. Secondly, the repulsion area for methyl group was added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using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the distance between methyl group and water molecule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as radius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. T</w:t>
      </w:r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he existence of methyl group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lastRenderedPageBreak/>
        <w:t xml:space="preserve">results in a </w:t>
      </w:r>
      <w:bookmarkStart w:id="7" w:name="OLE_LINK1"/>
      <w:bookmarkStart w:id="8" w:name="OLE_LINK2"/>
      <w:bookmarkStart w:id="9" w:name="OLE_LINK3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decrease of S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  <w:vertAlign w:val="subscript"/>
        </w:rPr>
        <w:t>NH2/NH3</w:t>
      </w:r>
      <w:bookmarkEnd w:id="7"/>
      <w:bookmarkEnd w:id="8"/>
      <w:bookmarkEnd w:id="9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, and we define this kind of </w:t>
      </w:r>
      <w:bookmarkStart w:id="10" w:name="OLE_LINK19"/>
      <w:bookmarkStart w:id="11" w:name="OLE_LINK20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effect</w:t>
      </w:r>
      <w:bookmarkEnd w:id="10"/>
      <w:bookmarkEnd w:id="11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as the </w:t>
      </w:r>
      <w:bookmarkStart w:id="12" w:name="OLE_LINK30"/>
      <w:bookmarkStart w:id="13" w:name="OLE_LINK31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primary steric stabilization</w:t>
      </w:r>
      <w:bookmarkEnd w:id="12"/>
      <w:bookmarkEnd w:id="13"/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due to the strong chemical bond of carbon and nitrogen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. </w:t>
      </w:r>
      <m:oMath>
        <m:sSub>
          <m:sSubPr>
            <m:ctrlP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eastAsia="ScalaSansLF-Regular" w:hAnsi="Cambria Math" w:cs="Times New Roman"/>
                    <w:i/>
                    <w:color w:val="000000"/>
                    <w:kern w:val="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ScalaSansLF-Regular" w:hAnsi="Cambria Math" w:cs="Times New Roman"/>
                    <w:color w:val="000000"/>
                    <w:kern w:val="0"/>
                    <w:sz w:val="20"/>
                    <w:szCs w:val="20"/>
                  </w:rPr>
                  <m:t>CH</m:t>
                </m:r>
              </m:e>
              <m:sub>
                <m:r>
                  <w:rPr>
                    <w:rFonts w:ascii="Cambria Math" w:eastAsia="ScalaSansLF-Regular" w:hAnsi="Cambria Math" w:cs="Times New Roman"/>
                    <w:color w:val="000000"/>
                    <w:kern w:val="0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denotes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the decreasing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superficial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area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due to the existence of methyl group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. Finally, the repulsion area for </w:t>
      </w:r>
      <w:bookmarkStart w:id="14" w:name="OLE_LINK25"/>
      <w:bookmarkStart w:id="15" w:name="OLE_LINK29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iodine </w:t>
      </w:r>
      <w:bookmarkEnd w:id="14"/>
      <w:bookmarkEnd w:id="15"/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ions were constructed based on the distance of hydrogen bonding between iodine ions and water molecule, and this also results in a decrease of </w:t>
      </w:r>
      <m:oMath>
        <m:sSub>
          <m:sSubPr>
            <m:ctrlP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  <m:t>S</m:t>
            </m:r>
          </m:e>
          <m:sub>
            <m:sSub>
              <m:sSubPr>
                <m:ctrlPr>
                  <w:rPr>
                    <w:rFonts w:ascii="Cambria Math" w:eastAsia="ScalaSansLF-Regular" w:hAnsi="Cambria Math" w:cs="Times New Roman"/>
                    <w:i/>
                    <w:color w:val="000000"/>
                    <w:kern w:val="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ScalaSansLF-Regular" w:hAnsi="Cambria Math" w:cs="Times New Roman"/>
                    <w:color w:val="000000"/>
                    <w:kern w:val="0"/>
                    <w:sz w:val="20"/>
                    <w:szCs w:val="20"/>
                  </w:rPr>
                  <m:t>NH</m:t>
                </m:r>
              </m:e>
              <m:sub>
                <m:r>
                  <w:rPr>
                    <w:rFonts w:ascii="Cambria Math" w:eastAsia="ScalaSansLF-Regular" w:hAnsi="Cambria Math" w:cs="Times New Roman"/>
                    <w:color w:val="000000"/>
                    <w:kern w:val="0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  <m:t>/</m:t>
            </m:r>
            <m:sSub>
              <m:sSubPr>
                <m:ctrlPr>
                  <w:rPr>
                    <w:rFonts w:ascii="Cambria Math" w:eastAsia="ScalaSansLF-Regular" w:hAnsi="Cambria Math" w:cs="Times New Roman"/>
                    <w:i/>
                    <w:color w:val="000000"/>
                    <w:kern w:val="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ScalaSansLF-Regular" w:hAnsi="Cambria Math" w:cs="Times New Roman"/>
                    <w:color w:val="000000"/>
                    <w:kern w:val="0"/>
                    <w:sz w:val="20"/>
                    <w:szCs w:val="20"/>
                  </w:rPr>
                  <m:t>NH</m:t>
                </m:r>
              </m:e>
              <m:sub>
                <m:r>
                  <w:rPr>
                    <w:rFonts w:ascii="Cambria Math" w:eastAsia="ScalaSansLF-Regular" w:hAnsi="Cambria Math" w:cs="Times New Roman"/>
                    <w:color w:val="000000"/>
                    <w:kern w:val="0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. Since the interaction between iodine ion and amino group is much weaker than the carbon and nitrogen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chemical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bond in MA and DMA molecular, we define this effect as the secondary steric stabilization, and </w:t>
      </w:r>
      <m:oMath>
        <m:sSub>
          <m:sSubPr>
            <m:ctrlP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ScalaSansLF-Regular" w:hAnsi="Cambria Math" w:cs="Times New Roman"/>
                <w:color w:val="000000"/>
                <w:kern w:val="0"/>
                <w:sz w:val="20"/>
                <w:szCs w:val="20"/>
              </w:rPr>
              <m:t>I</m:t>
            </m:r>
          </m:sub>
        </m:sSub>
      </m:oMath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is the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further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decreasing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superficial 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area due to the existence of iodine ions. Then primary and secondary steric stabilization coefficient were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used h</w:t>
      </w:r>
      <w:r w:rsidR="0045432E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ere to quantify the steric effect of methyl group and iodine ion. </w:t>
      </w:r>
      <w:r w:rsidR="00A258FF"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All the surface areas were calculated using SolidWorks 2014 x64 edition.</w:t>
      </w:r>
    </w:p>
    <w:p w:rsidR="00A258FF" w:rsidRPr="00C246F4" w:rsidRDefault="00A258FF" w:rsidP="00A258FF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</w:pPr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The primary steric stabilization coefficient is defined as:</w:t>
      </w:r>
    </w:p>
    <w:p w:rsidR="00A258FF" w:rsidRPr="00C246F4" w:rsidRDefault="00284E12" w:rsidP="00A258FF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  <m:t>η</m:t>
              </m:r>
            </m:e>
            <m:sub>
              <m: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ScalaSansLF-Regular" w:hAnsi="Cambria Math" w:cs="Times New Roman"/>
              <w:color w:val="000000"/>
              <w:kern w:val="0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eastAsia="ScalaSansLF-Regular" w:hAnsi="Cambria Math" w:cs="Times New Roman"/>
                          <w:i/>
                          <w:color w:val="000000"/>
                          <w:kern w:val="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CH</m:t>
                      </m:r>
                    </m:e>
                    <m:sub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eastAsia="ScalaSansLF-Regular" w:hAnsi="Cambria Math" w:cs="Times New Roman"/>
                          <w:i/>
                          <w:color w:val="000000"/>
                          <w:kern w:val="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NH</m:t>
                      </m:r>
                    </m:e>
                    <m:sub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="ScalaSansLF-Regular" w:hAnsi="Cambria Math" w:cs="Times New Roman"/>
                          <w:i/>
                          <w:color w:val="000000"/>
                          <w:kern w:val="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NH</m:t>
                      </m:r>
                    </m:e>
                    <m:sub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den>
          </m:f>
        </m:oMath>
      </m:oMathPara>
    </w:p>
    <w:p w:rsidR="00A258FF" w:rsidRPr="00C246F4" w:rsidRDefault="00A258FF" w:rsidP="00A258FF">
      <w:pPr>
        <w:autoSpaceDE w:val="0"/>
        <w:autoSpaceDN w:val="0"/>
        <w:adjustRightInd w:val="0"/>
        <w:spacing w:line="480" w:lineRule="auto"/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</w:pPr>
      <w:r w:rsidRPr="00C246F4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and the secondary steric stabilization coefficient is defined as</w:t>
      </w:r>
      <w:r w:rsidRPr="00C246F4">
        <w:rPr>
          <w:rFonts w:ascii="Times New Roman" w:eastAsia="ScalaSansLF-Regular" w:hAnsi="Times New Roman" w:cs="Times New Roman" w:hint="eastAsia"/>
          <w:color w:val="000000"/>
          <w:kern w:val="0"/>
          <w:sz w:val="20"/>
          <w:szCs w:val="20"/>
        </w:rPr>
        <w:t>:</w:t>
      </w:r>
    </w:p>
    <w:p w:rsidR="001B0857" w:rsidRPr="00FF2BEC" w:rsidRDefault="00284E12" w:rsidP="00A258FF">
      <w:pPr>
        <w:rPr>
          <w:color w:val="000000"/>
          <w:kern w:val="0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  <m:t>η</m:t>
              </m:r>
            </m:e>
            <m:sub>
              <m: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="ScalaSansLF-Regular" w:hAnsi="Cambria Math" w:cs="Times New Roman"/>
              <w:color w:val="000000"/>
              <w:kern w:val="0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ScalaSansLF-Regular" w:hAnsi="Cambria Math" w:cs="Times New Roman"/>
                  <w:color w:val="000000"/>
                  <w:kern w:val="0"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eastAsia="ScalaSansLF-Regular" w:hAnsi="Cambria Math" w:cs="Times New Roman"/>
                          <w:i/>
                          <w:color w:val="000000"/>
                          <w:kern w:val="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NH</m:t>
                      </m:r>
                    </m:e>
                    <m:sub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ScalaSansLF-Regular" w:hAnsi="Cambria Math" w:cs="Times New Roman"/>
                      <w:color w:val="000000"/>
                      <w:kern w:val="0"/>
                      <w:sz w:val="20"/>
                      <w:szCs w:val="20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="ScalaSansLF-Regular" w:hAnsi="Cambria Math" w:cs="Times New Roman"/>
                          <w:i/>
                          <w:color w:val="000000"/>
                          <w:kern w:val="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NH</m:t>
                      </m:r>
                    </m:e>
                    <m:sub>
                      <m:r>
                        <w:rPr>
                          <w:rFonts w:ascii="Cambria Math" w:eastAsia="ScalaSansLF-Regular" w:hAnsi="Cambria Math" w:cs="Times New Roman"/>
                          <w:color w:val="000000"/>
                          <w:kern w:val="0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den>
          </m:f>
        </m:oMath>
      </m:oMathPara>
    </w:p>
    <w:p w:rsidR="00FF2BEC" w:rsidRPr="00732F25" w:rsidRDefault="00FF2BEC" w:rsidP="00A258FF">
      <w:pPr>
        <w:rPr>
          <w:rFonts w:ascii="Times New Roman" w:hAnsi="Times New Roman" w:cs="Times New Roman"/>
          <w:b/>
          <w:color w:val="000000"/>
          <w:kern w:val="0"/>
          <w:sz w:val="20"/>
          <w:szCs w:val="20"/>
        </w:rPr>
      </w:pPr>
      <w:r w:rsidRPr="00732F25">
        <w:rPr>
          <w:rFonts w:ascii="Times New Roman" w:hAnsi="Times New Roman" w:cs="Times New Roman"/>
          <w:b/>
          <w:color w:val="000000"/>
          <w:kern w:val="0"/>
          <w:sz w:val="20"/>
          <w:szCs w:val="20"/>
        </w:rPr>
        <w:t xml:space="preserve">Defect </w:t>
      </w:r>
      <w:r w:rsidR="00732F25" w:rsidRPr="00732F25">
        <w:rPr>
          <w:rFonts w:ascii="Times New Roman" w:hAnsi="Times New Roman" w:cs="Times New Roman"/>
          <w:b/>
          <w:color w:val="000000"/>
          <w:kern w:val="0"/>
          <w:sz w:val="20"/>
          <w:szCs w:val="20"/>
        </w:rPr>
        <w:t>formation energy calculation</w:t>
      </w:r>
    </w:p>
    <w:p w:rsidR="00FF2BEC" w:rsidRDefault="00FF2BEC" w:rsidP="001B0857">
      <w:pPr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To gain insight into the origins of improved efficiency of DMA</w:t>
      </w:r>
      <w:r w:rsidR="00607CC8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0.11, we calculated the defect formation energy of MA1 and DMA0.11.</w:t>
      </w:r>
      <w:r w:rsidR="007E1D27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previous calculations have shown that interstitial </w:t>
      </w:r>
      <w:r w:rsidR="00537798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defect 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Pb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an</w:t>
      </w:r>
      <w:r w:rsidR="00537798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d antisite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="00537798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defects 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Pb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, I</w:t>
      </w:r>
      <w:r w:rsidR="00F7161D" w:rsidRPr="004E6CAD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Pb</w:t>
      </w:r>
      <w:r w:rsidR="00537798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are deep-level defects, which are responsible for nonradiative recombination centers in perovskite layers. 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Therefore, the defect formation energy of </w:t>
      </w:r>
      <w:r w:rsidR="004E6CA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Pb</w:t>
      </w:r>
      <w:r w:rsidR="004E6CAD" w:rsidRPr="004E6CAD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, </w:t>
      </w:r>
      <w:r w:rsidR="004E6CA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>Pb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and</w:t>
      </w:r>
      <w:r w:rsidR="004E6CAD" w:rsidRP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I</w:t>
      </w:r>
      <w:r w:rsidR="004E6CAD" w:rsidRPr="004E6CAD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Pb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are calculated here</w:t>
      </w:r>
      <w:r w:rsidR="001B0857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(Figure Sxxx )</w:t>
      </w:r>
      <w:r w:rsidR="004E6CA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, and the result is listed in Table Sxxx. </w:t>
      </w:r>
      <w:r w:rsidR="00A472BF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According to the result, </w:t>
      </w:r>
      <w:r w:rsidR="00A2340B">
        <w:rPr>
          <w:rFonts w:ascii="Times New Roman" w:hAnsi="Times New Roman" w:cs="Times New Roman"/>
          <w:color w:val="000000"/>
          <w:kern w:val="0"/>
          <w:sz w:val="20"/>
          <w:szCs w:val="20"/>
        </w:rPr>
        <w:t>there is a significant improvement in the formation energy of Pb</w:t>
      </w:r>
      <w:r w:rsidR="00A2340B">
        <w:rPr>
          <w:rFonts w:ascii="Times New Roman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="00A2340B">
        <w:rPr>
          <w:rFonts w:ascii="Times New Roman" w:hAnsi="Times New Roman" w:cs="Times New Roman"/>
          <w:color w:val="000000"/>
          <w:kern w:val="0"/>
          <w:sz w:val="20"/>
          <w:szCs w:val="20"/>
        </w:rPr>
        <w:t>, from 2.1 eV in MA1 to 2.5 eV in DMA0.11. The improved formation energy contributes to the reduction of nonradiative recombination centers</w:t>
      </w:r>
      <w:r w:rsidR="00732F25">
        <w:rPr>
          <w:rFonts w:ascii="Times New Roman" w:hAnsi="Times New Roman" w:cs="Times New Roman"/>
          <w:color w:val="000000"/>
          <w:kern w:val="0"/>
          <w:sz w:val="20"/>
          <w:szCs w:val="20"/>
        </w:rPr>
        <w:t>.</w:t>
      </w:r>
    </w:p>
    <w:p w:rsidR="009C1354" w:rsidRPr="00732F25" w:rsidRDefault="009C1354" w:rsidP="009C1354">
      <w:pPr>
        <w:rPr>
          <w:rFonts w:ascii="Times New Roman" w:hAnsi="Times New Roman" w:cs="Times New Roman"/>
          <w:b/>
          <w:color w:val="000000"/>
          <w:kern w:val="0"/>
          <w:sz w:val="20"/>
          <w:szCs w:val="20"/>
        </w:rPr>
      </w:pPr>
      <w:r w:rsidRPr="00732F25">
        <w:rPr>
          <w:rFonts w:ascii="Times New Roman" w:hAnsi="Times New Roman" w:cs="Times New Roman"/>
          <w:b/>
          <w:color w:val="000000"/>
          <w:kern w:val="0"/>
          <w:sz w:val="20"/>
          <w:szCs w:val="20"/>
        </w:rPr>
        <w:t>Defect formation energy calculation</w:t>
      </w:r>
      <w:r>
        <w:rPr>
          <w:rFonts w:ascii="Times New Roman" w:hAnsi="Times New Roman" w:cs="Times New Roman"/>
          <w:b/>
          <w:color w:val="000000"/>
          <w:kern w:val="0"/>
          <w:sz w:val="20"/>
          <w:szCs w:val="20"/>
        </w:rPr>
        <w:t>-SI</w:t>
      </w:r>
    </w:p>
    <w:p w:rsidR="009C1354" w:rsidRDefault="00160302" w:rsidP="001B0857">
      <w:pPr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62pt">
            <v:imagedata r:id="rId6" o:title="Pb_I antisite"/>
          </v:shape>
        </w:pict>
      </w:r>
    </w:p>
    <w:p w:rsidR="008876CC" w:rsidRPr="00547662" w:rsidRDefault="008876CC" w:rsidP="008876CC">
      <w:pPr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</w:pPr>
      <w:r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Figure S1. Structure configurations used in DFT calculations of Pb</w:t>
      </w:r>
      <w:r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antisite formation energy. A) MA1 and b) DMA0.11 </w:t>
      </w:r>
      <w:r w:rsidR="00FE3EC3"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>Pb</w:t>
      </w:r>
      <w:r w:rsidR="00FE3EC3"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  <w:vertAlign w:val="subscript"/>
        </w:rPr>
        <w:t>I</w:t>
      </w:r>
      <w:r w:rsidR="00FE3EC3"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antisite defect configurations. 3 different I sites were selected to be substituted by Pb atom to find the lowest defect formation energy.</w:t>
      </w:r>
      <w:r w:rsidR="00214B9E" w:rsidRPr="00547662">
        <w:rPr>
          <w:rFonts w:ascii="Times New Roman" w:eastAsia="ScalaSansLF-Regular" w:hAnsi="Times New Roman" w:cs="Times New Roman"/>
          <w:color w:val="000000"/>
          <w:kern w:val="0"/>
          <w:sz w:val="20"/>
          <w:szCs w:val="20"/>
        </w:rPr>
        <w:t xml:space="preserve"> The defect formation energies of charged-neutral defects were obtained as:</w:t>
      </w:r>
    </w:p>
    <w:p w:rsidR="00214B9E" w:rsidRPr="00547662" w:rsidRDefault="00284E12" w:rsidP="008876CC">
      <w:pPr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/>
              <w:kern w:val="0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kern w:val="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defect</m:t>
              </m:r>
            </m:sub>
          </m:sSub>
          <m:r>
            <w:rPr>
              <w:rFonts w:ascii="Cambria Math" w:hAnsi="Cambria Math" w:cs="Times New Roman"/>
              <w:color w:val="000000"/>
              <w:kern w:val="0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kern w:val="0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perfect</m:t>
              </m:r>
            </m:sub>
          </m:sSub>
          <m:r>
            <w:rPr>
              <w:rFonts w:ascii="Cambria Math" w:hAnsi="Cambria Math" w:cs="Times New Roman"/>
              <w:color w:val="000000"/>
              <w:kern w:val="0"/>
              <w:sz w:val="20"/>
              <w:szCs w:val="20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000000"/>
                  <w:kern w:val="0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kern w:val="0"/>
                  <w:sz w:val="20"/>
                  <w:szCs w:val="2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kern w:val="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kern w:val="0"/>
                      <w:sz w:val="20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kern w:val="0"/>
                      <w:sz w:val="20"/>
                      <w:szCs w:val="20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kern w:val="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kern w:val="0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kern w:val="0"/>
                      <w:sz w:val="20"/>
                      <w:szCs w:val="20"/>
                    </w:rPr>
                    <m:t>i</m:t>
                  </m:r>
                </m:sub>
              </m:sSub>
            </m:e>
          </m:nary>
        </m:oMath>
      </m:oMathPara>
      <w:bookmarkStart w:id="16" w:name="_GoBack"/>
      <w:bookmarkEnd w:id="16"/>
    </w:p>
    <w:p w:rsidR="00D63F7D" w:rsidRDefault="00D63F7D" w:rsidP="008876CC">
      <w:pPr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defect</m:t>
            </m:r>
          </m:sub>
        </m:sSub>
      </m:oMath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perfect</m:t>
            </m:r>
          </m:sub>
        </m:sSub>
      </m:oMath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is the total energy of the supercell with an without a defect respectively.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i</m:t>
            </m:r>
          </m:sub>
        </m:sSub>
      </m:oMath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is the number of atom </w:t>
      </w:r>
      <m:oMath>
        <m:r>
          <w:rPr>
            <w:rFonts w:ascii="Cambria Math" w:hAnsi="Cambria Math" w:cs="Times New Roman"/>
            <w:color w:val="000000"/>
            <w:kern w:val="0"/>
            <w:sz w:val="20"/>
            <w:szCs w:val="20"/>
          </w:rPr>
          <m:t>i</m:t>
        </m:r>
      </m:oMath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removed from the supercell and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kern w:val="0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 w:cs="Times New Roman"/>
                <w:color w:val="000000"/>
                <w:kern w:val="0"/>
                <w:sz w:val="20"/>
                <w:szCs w:val="20"/>
              </w:rPr>
              <m:t>i</m:t>
            </m:r>
          </m:sub>
        </m:sSub>
      </m:oMath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is the is the component element </w:t>
      </w:r>
      <m:oMath>
        <m:r>
          <w:rPr>
            <w:rFonts w:ascii="Cambria Math" w:hAnsi="Cambria Math" w:cs="Times New Roman"/>
            <w:color w:val="000000"/>
            <w:kern w:val="0"/>
            <w:sz w:val="20"/>
            <w:szCs w:val="20"/>
          </w:rPr>
          <m:t>i</m:t>
        </m:r>
      </m:oMath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in its pure phase.</w:t>
      </w:r>
    </w:p>
    <w:p w:rsidR="00160302" w:rsidRDefault="00160302" w:rsidP="008876CC">
      <w:pPr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T</w:t>
      </w:r>
      <w:r>
        <w:rPr>
          <w:rFonts w:ascii="Times New Roman" w:hAnsi="Times New Roman" w:cs="Times New Roman" w:hint="eastAsia"/>
          <w:color w:val="000000"/>
          <w:kern w:val="0"/>
          <w:sz w:val="20"/>
          <w:szCs w:val="20"/>
        </w:rPr>
        <w:t>able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S1. </w:t>
      </w:r>
      <w:r w:rsidRPr="00160302">
        <w:rPr>
          <w:rFonts w:ascii="Times New Roman" w:hAnsi="Times New Roman" w:cs="Times New Roman"/>
          <w:color w:val="000000"/>
          <w:kern w:val="0"/>
          <w:sz w:val="20"/>
          <w:szCs w:val="20"/>
        </w:rPr>
        <w:t>Calculated point defects formation energies at neut</w:t>
      </w: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t>ral charge state.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0302" w:rsidTr="00160302">
        <w:tc>
          <w:tcPr>
            <w:tcW w:w="2765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Defects</w:t>
            </w:r>
          </w:p>
        </w:tc>
        <w:tc>
          <w:tcPr>
            <w:tcW w:w="2765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Defect formation energy of MA1 / eV</w:t>
            </w:r>
          </w:p>
        </w:tc>
        <w:tc>
          <w:tcPr>
            <w:tcW w:w="2766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Defect formation energy of DMA0.11 / eV</w:t>
            </w:r>
          </w:p>
        </w:tc>
      </w:tr>
      <w:tr w:rsidR="00160302" w:rsidTr="00160302">
        <w:tc>
          <w:tcPr>
            <w:tcW w:w="2765" w:type="dxa"/>
          </w:tcPr>
          <w:p w:rsidR="00160302" w:rsidRP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  <w:vertAlign w:val="subscript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  <w:vertAlign w:val="subscript"/>
              </w:rPr>
              <w:t>Pb</w:t>
            </w:r>
          </w:p>
        </w:tc>
        <w:tc>
          <w:tcPr>
            <w:tcW w:w="2765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6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160302" w:rsidTr="00160302">
        <w:tc>
          <w:tcPr>
            <w:tcW w:w="2765" w:type="dxa"/>
          </w:tcPr>
          <w:p w:rsidR="00160302" w:rsidRP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  <w:vertAlign w:val="subscript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b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2765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6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160302" w:rsidTr="00160302">
        <w:tc>
          <w:tcPr>
            <w:tcW w:w="2765" w:type="dxa"/>
          </w:tcPr>
          <w:p w:rsidR="00160302" w:rsidRP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  <w:vertAlign w:val="subscript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b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  <w:vertAlign w:val="subscript"/>
              </w:rPr>
              <w:t>i</w:t>
            </w:r>
          </w:p>
        </w:tc>
        <w:tc>
          <w:tcPr>
            <w:tcW w:w="2765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6" w:type="dxa"/>
          </w:tcPr>
          <w:p w:rsidR="00160302" w:rsidRDefault="00160302" w:rsidP="008876CC">
            <w:pP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</w:tbl>
    <w:p w:rsidR="00160302" w:rsidRPr="00FE3EC3" w:rsidRDefault="00160302" w:rsidP="008876CC">
      <w:pPr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sectPr w:rsidR="00160302" w:rsidRPr="00FE3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E12" w:rsidRDefault="00284E12" w:rsidP="0045432E">
      <w:r>
        <w:separator/>
      </w:r>
    </w:p>
  </w:endnote>
  <w:endnote w:type="continuationSeparator" w:id="0">
    <w:p w:rsidR="00284E12" w:rsidRDefault="00284E12" w:rsidP="00454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alaSansLF-Regular">
    <w:altName w:val="宋体"/>
    <w:panose1 w:val="00000000000000000000"/>
    <w:charset w:val="86"/>
    <w:family w:val="swiss"/>
    <w:notTrueType/>
    <w:pitch w:val="default"/>
    <w:sig w:usb0="00000001" w:usb1="080F0000" w:usb2="00000010" w:usb3="00000000" w:csb0="0006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E12" w:rsidRDefault="00284E12" w:rsidP="0045432E">
      <w:r>
        <w:separator/>
      </w:r>
    </w:p>
  </w:footnote>
  <w:footnote w:type="continuationSeparator" w:id="0">
    <w:p w:rsidR="00284E12" w:rsidRDefault="00284E12" w:rsidP="004543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C3"/>
    <w:rsid w:val="00160302"/>
    <w:rsid w:val="001B0857"/>
    <w:rsid w:val="00214B9E"/>
    <w:rsid w:val="00234ECD"/>
    <w:rsid w:val="00251254"/>
    <w:rsid w:val="00284E12"/>
    <w:rsid w:val="00342F34"/>
    <w:rsid w:val="003E0BC9"/>
    <w:rsid w:val="00420AA0"/>
    <w:rsid w:val="0045432E"/>
    <w:rsid w:val="004B202E"/>
    <w:rsid w:val="004E6CAD"/>
    <w:rsid w:val="00537798"/>
    <w:rsid w:val="00547662"/>
    <w:rsid w:val="00607CC8"/>
    <w:rsid w:val="00610834"/>
    <w:rsid w:val="00682FAC"/>
    <w:rsid w:val="00732F25"/>
    <w:rsid w:val="00753847"/>
    <w:rsid w:val="007E1D27"/>
    <w:rsid w:val="008876CC"/>
    <w:rsid w:val="008E4AC3"/>
    <w:rsid w:val="009071D8"/>
    <w:rsid w:val="00930EE9"/>
    <w:rsid w:val="009C1354"/>
    <w:rsid w:val="00A2340B"/>
    <w:rsid w:val="00A258FF"/>
    <w:rsid w:val="00A472BF"/>
    <w:rsid w:val="00C246F4"/>
    <w:rsid w:val="00CB2BCC"/>
    <w:rsid w:val="00D63F7D"/>
    <w:rsid w:val="00E92BEF"/>
    <w:rsid w:val="00F3658E"/>
    <w:rsid w:val="00F7161D"/>
    <w:rsid w:val="00FE3EC3"/>
    <w:rsid w:val="00FF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87C35"/>
  <w15:chartTrackingRefBased/>
  <w15:docId w15:val="{F678F549-6E2C-4F93-A4ED-EB1F335E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43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43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43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432E"/>
    <w:rPr>
      <w:sz w:val="18"/>
      <w:szCs w:val="18"/>
    </w:rPr>
  </w:style>
  <w:style w:type="character" w:styleId="a7">
    <w:name w:val="Placeholder Text"/>
    <w:basedOn w:val="a0"/>
    <w:uiPriority w:val="99"/>
    <w:semiHidden/>
    <w:rsid w:val="00D63F7D"/>
    <w:rPr>
      <w:color w:val="808080"/>
    </w:rPr>
  </w:style>
  <w:style w:type="table" w:styleId="a8">
    <w:name w:val="Table Grid"/>
    <w:basedOn w:val="a1"/>
    <w:uiPriority w:val="39"/>
    <w:rsid w:val="001603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</Pages>
  <Words>703</Words>
  <Characters>4010</Characters>
  <Application>Microsoft Office Word</Application>
  <DocSecurity>0</DocSecurity>
  <Lines>33</Lines>
  <Paragraphs>9</Paragraphs>
  <ScaleCrop>false</ScaleCrop>
  <Company/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qi</dc:creator>
  <cp:keywords/>
  <dc:description/>
  <cp:lastModifiedBy>wei qi</cp:lastModifiedBy>
  <cp:revision>5</cp:revision>
  <dcterms:created xsi:type="dcterms:W3CDTF">2018-09-07T06:50:00Z</dcterms:created>
  <dcterms:modified xsi:type="dcterms:W3CDTF">2018-09-13T06:08:00Z</dcterms:modified>
</cp:coreProperties>
</file>