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hint="eastAsia"/>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hint="eastAsia"/>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hint="eastAsia"/>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hint="eastAsia"/>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hint="eastAsia"/>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hint="eastAsia"/>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hint="eastAsia"/>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hint="eastAsia"/>
        </w:rPr>
      </w:pPr>
      <w:r>
        <w:rPr>
          <w:rFonts w:ascii="Courier New" w:hAnsi="Courier New" w:cs="Courier New" w:hint="eastAsia"/>
        </w:rPr>
        <w:t>只要符合下面的两种情况之一：</w:t>
      </w:r>
    </w:p>
    <w:p w:rsidR="00490632" w:rsidRDefault="00490632">
      <w:pPr>
        <w:rPr>
          <w:rFonts w:ascii="Courier New" w:hAnsi="Courier New" w:cs="Courier New" w:hint="eastAsia"/>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hint="eastAsia"/>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hint="eastAsia"/>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hint="eastAsia"/>
        </w:rPr>
      </w:pPr>
      <w:r>
        <w:rPr>
          <w:rFonts w:ascii="Courier New" w:hAnsi="Courier New" w:cs="Courier New" w:hint="eastAsia"/>
        </w:rPr>
        <w:t>但是在这之后不能再次声明它</w:t>
      </w:r>
    </w:p>
    <w:p w:rsidR="00336AEA" w:rsidRDefault="00336AEA">
      <w:pPr>
        <w:rPr>
          <w:rFonts w:ascii="Courier New" w:hAnsi="Courier New" w:cs="Courier New" w:hint="eastAsia"/>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hint="eastAsia"/>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hint="eastAsia"/>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hint="eastAsia"/>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hint="eastAsia"/>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hint="eastAsia"/>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hint="eastAsia"/>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hint="eastAsia"/>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hint="eastAsia"/>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hint="eastAsia"/>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hint="eastAsia"/>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hint="eastAsia"/>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hint="eastAsia"/>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hint="eastAsia"/>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hint="eastAsia"/>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hint="eastAsia"/>
        </w:rPr>
      </w:pPr>
      <w:r>
        <w:rPr>
          <w:rFonts w:ascii="Courier New" w:hAnsi="Courier New" w:cs="Courier New" w:hint="eastAsia"/>
        </w:rPr>
        <w:t>等价于：</w:t>
      </w:r>
    </w:p>
    <w:p w:rsidR="0060188A" w:rsidRDefault="007F7227">
      <w:pPr>
        <w:rPr>
          <w:rFonts w:ascii="Courier New" w:hAnsi="Courier New" w:cs="Courier New" w:hint="eastAsia"/>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hint="eastAsia"/>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hint="eastAsia"/>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hint="eastAsia"/>
        </w:rPr>
      </w:pPr>
      <w:r>
        <w:rPr>
          <w:rFonts w:ascii="Courier New" w:hAnsi="Courier New" w:cs="Courier New" w:hint="eastAsia"/>
        </w:rPr>
        <w:t>等价于：</w:t>
      </w:r>
    </w:p>
    <w:p w:rsidR="001847A7" w:rsidRDefault="0077713E">
      <w:pPr>
        <w:rPr>
          <w:rFonts w:ascii="Courier New" w:hAnsi="Courier New" w:cs="Courier New" w:hint="eastAsia"/>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hint="eastAsia"/>
        </w:rPr>
      </w:pPr>
    </w:p>
    <w:p w:rsidR="00256E5E" w:rsidRDefault="00256E5E" w:rsidP="00256E5E">
      <w:pPr>
        <w:rPr>
          <w:rFonts w:ascii="Courier New" w:hAnsi="Courier New" w:cs="Courier New" w:hint="eastAsia"/>
          <w:b/>
        </w:rPr>
      </w:pPr>
      <w:r>
        <w:rPr>
          <w:rFonts w:ascii="Courier New" w:hAnsi="Courier New" w:cs="Courier New" w:hint="eastAsia"/>
          <w:b/>
        </w:rPr>
        <w:t>类型转换</w:t>
      </w:r>
    </w:p>
    <w:p w:rsidR="00256E5E" w:rsidRDefault="004F4EEF" w:rsidP="00256E5E">
      <w:pPr>
        <w:rPr>
          <w:rFonts w:ascii="Courier New" w:hAnsi="Courier New" w:cs="Courier New" w:hint="eastAsia"/>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hint="eastAsia"/>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hint="eastAsia"/>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hint="eastAsia"/>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hint="eastAsia"/>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hint="eastAsia"/>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hint="eastAsia"/>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hint="eastAsia"/>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933ABD">
      <w:pPr>
        <w:rPr>
          <w:rFonts w:ascii="Courier New" w:hAnsi="Courier New" w:cs="Courier New" w:hint="eastAsia"/>
        </w:rPr>
      </w:pPr>
      <w:r>
        <w:rPr>
          <w:rFonts w:ascii="Courier New" w:hAnsi="Courier New" w:cs="Courier New" w:hint="eastAsia"/>
        </w:rPr>
        <w:t>将信息传入和传出着色器与更典型的编程环境有很大的不同，</w:t>
      </w:r>
    </w:p>
    <w:p w:rsidR="009C397D" w:rsidRPr="009C397D" w:rsidRDefault="009C397D">
      <w:pPr>
        <w:rPr>
          <w:rFonts w:ascii="Courier New" w:hAnsi="Courier New" w:cs="Courier New" w:hint="eastAsia"/>
        </w:rPr>
      </w:pPr>
    </w:p>
    <w:p w:rsidR="00932E5F" w:rsidRPr="000F1E67" w:rsidRDefault="00932E5F">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9CE" w:rsidRDefault="005939CE" w:rsidP="00F32E51">
      <w:r>
        <w:separator/>
      </w:r>
    </w:p>
  </w:endnote>
  <w:endnote w:type="continuationSeparator" w:id="1">
    <w:p w:rsidR="005939CE" w:rsidRDefault="005939CE"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9CE" w:rsidRDefault="005939CE" w:rsidP="00F32E51">
      <w:r>
        <w:separator/>
      </w:r>
    </w:p>
  </w:footnote>
  <w:footnote w:type="continuationSeparator" w:id="1">
    <w:p w:rsidR="005939CE" w:rsidRDefault="005939CE"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5B29"/>
    <w:rsid w:val="0000611C"/>
    <w:rsid w:val="000164B4"/>
    <w:rsid w:val="00033C5D"/>
    <w:rsid w:val="0009521B"/>
    <w:rsid w:val="00095E1C"/>
    <w:rsid w:val="000A2B1D"/>
    <w:rsid w:val="000D38D8"/>
    <w:rsid w:val="000D70C7"/>
    <w:rsid w:val="000E2BE1"/>
    <w:rsid w:val="000E5339"/>
    <w:rsid w:val="000F1E67"/>
    <w:rsid w:val="001013D1"/>
    <w:rsid w:val="0010605B"/>
    <w:rsid w:val="00123C6F"/>
    <w:rsid w:val="00136782"/>
    <w:rsid w:val="001572EA"/>
    <w:rsid w:val="00180BE0"/>
    <w:rsid w:val="001847A7"/>
    <w:rsid w:val="00187175"/>
    <w:rsid w:val="001B34D4"/>
    <w:rsid w:val="001B3AE7"/>
    <w:rsid w:val="001C0057"/>
    <w:rsid w:val="001D384F"/>
    <w:rsid w:val="001E0162"/>
    <w:rsid w:val="001E5E0A"/>
    <w:rsid w:val="001E6239"/>
    <w:rsid w:val="001F1272"/>
    <w:rsid w:val="00202BF0"/>
    <w:rsid w:val="0020542B"/>
    <w:rsid w:val="002164A4"/>
    <w:rsid w:val="002218B8"/>
    <w:rsid w:val="0022314E"/>
    <w:rsid w:val="00223C43"/>
    <w:rsid w:val="00256E5E"/>
    <w:rsid w:val="00271C0A"/>
    <w:rsid w:val="0027500B"/>
    <w:rsid w:val="00277405"/>
    <w:rsid w:val="00287149"/>
    <w:rsid w:val="0029551A"/>
    <w:rsid w:val="002B0BBF"/>
    <w:rsid w:val="002B51BB"/>
    <w:rsid w:val="002B654F"/>
    <w:rsid w:val="002E64D6"/>
    <w:rsid w:val="00327521"/>
    <w:rsid w:val="00335395"/>
    <w:rsid w:val="00336AEA"/>
    <w:rsid w:val="003A55D0"/>
    <w:rsid w:val="003D446D"/>
    <w:rsid w:val="003F069A"/>
    <w:rsid w:val="00457046"/>
    <w:rsid w:val="00457C7E"/>
    <w:rsid w:val="00463D85"/>
    <w:rsid w:val="0048326D"/>
    <w:rsid w:val="00484E60"/>
    <w:rsid w:val="00490632"/>
    <w:rsid w:val="004C5BCA"/>
    <w:rsid w:val="004F4EEF"/>
    <w:rsid w:val="0053405D"/>
    <w:rsid w:val="005756DF"/>
    <w:rsid w:val="005939CE"/>
    <w:rsid w:val="005C07F4"/>
    <w:rsid w:val="005C649E"/>
    <w:rsid w:val="005F38EF"/>
    <w:rsid w:val="0060188A"/>
    <w:rsid w:val="00654715"/>
    <w:rsid w:val="0068096D"/>
    <w:rsid w:val="00691576"/>
    <w:rsid w:val="006B70DA"/>
    <w:rsid w:val="006D4ED7"/>
    <w:rsid w:val="006E75E8"/>
    <w:rsid w:val="006F7F21"/>
    <w:rsid w:val="007010BE"/>
    <w:rsid w:val="00704241"/>
    <w:rsid w:val="00711132"/>
    <w:rsid w:val="007314AC"/>
    <w:rsid w:val="00732B3C"/>
    <w:rsid w:val="007430FC"/>
    <w:rsid w:val="0077713E"/>
    <w:rsid w:val="00780947"/>
    <w:rsid w:val="007949D7"/>
    <w:rsid w:val="0079612B"/>
    <w:rsid w:val="007C6287"/>
    <w:rsid w:val="007F2015"/>
    <w:rsid w:val="007F3229"/>
    <w:rsid w:val="007F7227"/>
    <w:rsid w:val="00812301"/>
    <w:rsid w:val="0083404E"/>
    <w:rsid w:val="0084696F"/>
    <w:rsid w:val="00893493"/>
    <w:rsid w:val="008971AF"/>
    <w:rsid w:val="008B5760"/>
    <w:rsid w:val="008F7B58"/>
    <w:rsid w:val="0091692D"/>
    <w:rsid w:val="00932E5F"/>
    <w:rsid w:val="00933ABD"/>
    <w:rsid w:val="009665D5"/>
    <w:rsid w:val="009949B2"/>
    <w:rsid w:val="009A0E0C"/>
    <w:rsid w:val="009A6E30"/>
    <w:rsid w:val="009C397D"/>
    <w:rsid w:val="009E1113"/>
    <w:rsid w:val="009E42A9"/>
    <w:rsid w:val="009F4A32"/>
    <w:rsid w:val="00A00817"/>
    <w:rsid w:val="00A0083F"/>
    <w:rsid w:val="00A2013F"/>
    <w:rsid w:val="00A222B6"/>
    <w:rsid w:val="00A4536F"/>
    <w:rsid w:val="00A5115D"/>
    <w:rsid w:val="00A6535D"/>
    <w:rsid w:val="00A73BA7"/>
    <w:rsid w:val="00AA45E4"/>
    <w:rsid w:val="00AB0F0C"/>
    <w:rsid w:val="00AB3FE8"/>
    <w:rsid w:val="00AD24E7"/>
    <w:rsid w:val="00AD5EEA"/>
    <w:rsid w:val="00AD77AF"/>
    <w:rsid w:val="00AE65C9"/>
    <w:rsid w:val="00AF023B"/>
    <w:rsid w:val="00AF60A3"/>
    <w:rsid w:val="00B00201"/>
    <w:rsid w:val="00B20123"/>
    <w:rsid w:val="00B5392A"/>
    <w:rsid w:val="00B93D28"/>
    <w:rsid w:val="00B94CE7"/>
    <w:rsid w:val="00BA3628"/>
    <w:rsid w:val="00BD408F"/>
    <w:rsid w:val="00BF1FF3"/>
    <w:rsid w:val="00C11A41"/>
    <w:rsid w:val="00C3543F"/>
    <w:rsid w:val="00C4535F"/>
    <w:rsid w:val="00C568D2"/>
    <w:rsid w:val="00C72F36"/>
    <w:rsid w:val="00C954BF"/>
    <w:rsid w:val="00CB016E"/>
    <w:rsid w:val="00CC41F6"/>
    <w:rsid w:val="00CC7BD4"/>
    <w:rsid w:val="00CE2417"/>
    <w:rsid w:val="00D27479"/>
    <w:rsid w:val="00D5294D"/>
    <w:rsid w:val="00D6667B"/>
    <w:rsid w:val="00D70323"/>
    <w:rsid w:val="00DB252A"/>
    <w:rsid w:val="00DB3339"/>
    <w:rsid w:val="00DC286B"/>
    <w:rsid w:val="00DD6FEA"/>
    <w:rsid w:val="00DD78C8"/>
    <w:rsid w:val="00DE0361"/>
    <w:rsid w:val="00DF4A74"/>
    <w:rsid w:val="00E1721B"/>
    <w:rsid w:val="00E17B49"/>
    <w:rsid w:val="00E22CF9"/>
    <w:rsid w:val="00E27682"/>
    <w:rsid w:val="00E304A1"/>
    <w:rsid w:val="00E422A5"/>
    <w:rsid w:val="00E7557D"/>
    <w:rsid w:val="00E77661"/>
    <w:rsid w:val="00EA08F2"/>
    <w:rsid w:val="00EB1AB1"/>
    <w:rsid w:val="00EB5809"/>
    <w:rsid w:val="00ED68C2"/>
    <w:rsid w:val="00EF3A93"/>
    <w:rsid w:val="00EF7E6A"/>
    <w:rsid w:val="00F135C1"/>
    <w:rsid w:val="00F17F00"/>
    <w:rsid w:val="00F32E51"/>
    <w:rsid w:val="00F47407"/>
    <w:rsid w:val="00F6386C"/>
    <w:rsid w:val="00F70864"/>
    <w:rsid w:val="00F77458"/>
    <w:rsid w:val="00F81FED"/>
    <w:rsid w:val="00F8363E"/>
    <w:rsid w:val="00F94BAF"/>
    <w:rsid w:val="00FC45D9"/>
    <w:rsid w:val="00FE0963"/>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264</cp:revision>
  <dcterms:created xsi:type="dcterms:W3CDTF">2015-12-16T06:29:00Z</dcterms:created>
  <dcterms:modified xsi:type="dcterms:W3CDTF">2015-12-22T09:54:00Z</dcterms:modified>
</cp:coreProperties>
</file>