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100"/>
        <w:jc w:val="center"/>
      </w:pPr>
      <w:r>
        <w:rPr>
          <w:color w:val="000000"/>
        </w:rPr>
        <w:t>退货对账与差异处理系统最终报告</w:t>
      </w:r>
    </w:p>
    <w:p>
      <w:pPr>
        <w:widowControl/>
        <w:spacing w:after="100"/>
        <w:jc w:val="center"/>
      </w:pPr>
      <w:r>
        <w:t>软件编程课程项目　VC-R-03　课程要求 v1.2</w:t>
      </w:r>
    </w:p>
    <w:p>
      <w:pPr>
        <w:widowControl/>
        <w:spacing w:after="100"/>
        <w:jc w:val="center"/>
      </w:pPr>
      <w:r>
        <w:t>王麒皓　20251101030　机国际2502</w:t>
      </w:r>
    </w:p>
    <w:p>
      <w:pPr>
        <w:widowControl/>
        <w:spacing w:after="100"/>
        <w:jc w:val="center"/>
      </w:pPr>
      <w:r>
        <w:t>最终版　2026年10月27日</w:t>
      </w:r>
    </w:p>
    <w:p>
      <w:pPr>
        <w:pStyle w:val="Heading1"/>
        <w:widowControl/>
        <w:spacing w:after="100"/>
      </w:pPr>
      <w:r>
        <w:t>一、封面与项目概览</w:t>
      </w:r>
    </w:p>
    <w:p>
      <w:pPr>
        <w:widowControl/>
        <w:spacing w:after="100"/>
      </w:pPr>
      <w:r>
        <w:t>本项目针对取消记录缺少原销售关联的问题，使用可解释规则筛选候选，并将人工核查、资料补充、派单和处理结果保存在可追溯的业务记录中。当前已实现两个年度全量数据准备、网页与WinUI 3客户端、账户和国家/地区权限，以及补充资料后的重算流程。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7393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目标用户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财务、仓库工作人员和系统管理员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可见结果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来源及差异可查，候选可比较，处理可派单，补充后可重核，结果可导出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UCI Online Retail II，两个年度工作表，原始共1,067,371行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FR-01至FR-21已有实现；已完成规则、数据、业务与界面审核，并保存实测证据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验收边界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原生完整业务覆盖、部分认证/恢复、系统缩放读屏和物理另机测试仍待补充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版本范围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软件提交585d6d5；最终材料与源码归档见包内交付清单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pStyle w:val="Heading1"/>
        <w:widowControl/>
        <w:spacing w:after="100"/>
      </w:pPr>
      <w:r>
        <w:t>二、项目背景、用户与范围</w:t>
      </w:r>
    </w:p>
    <w:p>
      <w:pPr>
        <w:widowControl/>
        <w:spacing w:after="100"/>
      </w:pPr>
      <w:r>
        <w:t>财务面对一条取消记录时，需要知道是否存在符合条件的原销售，以及同一笔销售还可退多少。仓库需要按派单核查资料、补充缺失信息并记录结论。管理员则维护账户、负责范围和开户申请，避免不同人员看到或处理不属于自己的记录。</w:t>
      </w:r>
    </w:p>
    <w:p>
      <w:pPr>
        <w:widowControl/>
        <w:spacing w:after="100"/>
      </w:pPr>
      <w:r>
        <w:t>本系统将这项工作分为来源准备、首轮分类、人工复核和后续处理。用户可以查询精确来源、比较候选、选择处理方案、核实资料并重新计算；系统保留每轮决定和审计，不能用后来的修正覆盖初次结果。</w:t>
      </w:r>
    </w:p>
    <w:p>
      <w:pPr>
        <w:widowControl/>
        <w:spacing w:after="100"/>
      </w:pPr>
      <w:r>
        <w:t>项目不执行真实退款，不对接支付或物流，也不将候选建议当作已经找到真实原单。成功标准是数据和规则可解释、数量及权限边界可检查、主流程和异常有实际证据；匹配覆盖率、测试数量与截图数量均不直接等于准确率或课程验收结论。</w:t>
      </w:r>
    </w:p>
    <w:p>
      <w:pPr>
        <w:pStyle w:val="Heading1"/>
        <w:widowControl/>
        <w:spacing w:after="100"/>
      </w:pPr>
      <w:r>
        <w:t>三、数据来源与准备过程</w:t>
      </w:r>
    </w:p>
    <w:p>
      <w:pPr>
        <w:widowControl/>
        <w:spacing w:after="100"/>
      </w:pPr>
      <w:r>
        <w:t>官方来源为UCI的Online Retail II，原始引用为Chen, D.（2012），DOI为10.24432/C5CG6D，许可为CC BY 4.0。2026年10月14日的只读核查记录了官方ZIP下载返回200及工作簿读取结果；正式准备后另有文件散列和数据验证记录。来源与核查方法见证据E01。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7393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来源项目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实际内容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官方页面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https://archive.ics.uci.edu/dataset/502/online+retail+ii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使用文件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online_retail_II.xlsx；Year 2009-2010和Year 2010-2011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两表规模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525,461行与541,910行，合计1,067,371行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关键字段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Invoice为单号；StockCode为商品；Quantity为数量；InvoiceDate为时间；Price为单价；Customer ID为客户；Country为国家/地区；Description为描述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原件SHA-256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bcbe73b35f5b7babf197fb0cb983a11f5d9ff929078d4aa53d171b1f2df2e980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当前数据范围</w:t>
            </w:r>
          </w:p>
        </w:tc>
        <w:tc>
          <w:tcPr>
            <w:tcW w:type="dxa" w:w="739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benchmark用于独立一万行基准，year1用于首表，all保留两个年度全量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准备过程先核对来源和散列，再以只读方式读取工作簿，保留工作表与源行位置，规范单号、客户标识、精确单价和时间。清洗版本为cr-1.0.1：按主要原因排除无效行；缺少客户的取消行保留供核查；同表疑似重复保留标记，跨表副本按出现次数对应处理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2464"/>
        <w:gridCol w:w="2464"/>
        <w:gridCol w:w="2464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原始行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接纳行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排除行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benchmark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10,000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9,972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year1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525,461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521,770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3,691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all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1,067,371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1,038,818</w:t>
            </w:r>
          </w:p>
        </w:tc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28,553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以上三行分别满足“原始＝接纳＋排除”。两表日期有重叠，不能按完全不重叠的自然年度理解。部分缺失、重复和异常统计存在交集，不能随意相加充当排除原因总数。</w:t>
      </w:r>
    </w:p>
    <w:p>
      <w:pPr>
        <w:widowControl/>
        <w:spacing w:after="100"/>
      </w:pPr>
      <w:r>
        <w:t>交易行及字段是原始数据事实；配对关系、候选策略、角色、派单、申请、结论和审计由本系统建立。原始数据没有可用于直接检验每条取消真实原单的标签，因此系统报告覆盖率及规则结果，不宣称取得了原单识别准确率。原件、数据库与认证秘密不作为公开源码材料分发。</w:t>
      </w:r>
    </w:p>
    <w:p>
      <w:pPr>
        <w:pStyle w:val="Heading1"/>
        <w:widowControl/>
        <w:spacing w:after="100"/>
      </w:pPr>
      <w:r>
        <w:t>四、需求与验收标准</w:t>
      </w:r>
    </w:p>
    <w:p>
      <w:pPr>
        <w:widowControl/>
        <w:spacing w:after="100"/>
      </w:pPr>
      <w:r>
        <w:t>需求沿用FR-01至FR-21，不重排既有编号。下表按业务主题归并；每项写明触发、动作和可检查结果。完整条文和原验收编号仍以三份规格为准，证据位置见第十一节。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3"/>
        <w:gridCol w:w="5126"/>
        <w:gridCol w:w="2859"/>
      </w:tblGrid>
      <w:tr>
        <w:trPr>
          <w:cantSplit/>
          <w:tblHeader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触发条件与系统行为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如何判断完成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FR-01～04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当用户准备官方数据时，应核对出处、散列和源行，完成清洗并显示接纳/排除统计。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来源、两级守恒和排除原因可查；E01、E02。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FR-05～06、08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当执行首轮对账时，应只自动接受唯一合格候选，限制余量并保留决定；重复请求不重复分配。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歧义、部分退货、超量及幂等测试通过；E02、E03。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FR-07、16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当用户筛选、排序和翻页时，应在本人范围内返回稳定分页；导出应覆盖全部筛选结果。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行、总数、CSV和精确值一致；E04、E09。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FR-09～13、15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当派单、开始、确认及处理时，应检查身份、归属、状态和版本，将变更与审计共同保存。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重复派单、空结论和越权被拒；闭单只读；E05、E06。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FR-14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当账户首次进入时，应先设强密码，再验证Passkey或TOTP并确认恢复码保存。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未完成只能配置；挑战、重放、会话撤销和受限恢复有反例；E07、E09。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FR-17～18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当执行准备、对账和查询时，应保留计时边界与失败记录；项目应有独立运行和历史恢复入口。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历史性能底线及实际差距可查，依赖/运行清单与Git历史可核对。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FR-19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当管理员开户或分配国家/地区范围时，应限制对应数据与写入；财务可申请仓库账户，由管理员审批。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同事务审批、范围隔离、旧会话失效和删除影响可验证；E08。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FR-20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当差异资料不足或错误时，应核实修正、凭证补录或标记待补充，再重算关联未配对记录。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未解决不能仅凭文字结案；原因变化产生关联新问题，旧事实和分配保留；E10。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FR-21</w:t>
            </w:r>
          </w:p>
        </w:tc>
        <w:tc>
          <w:tcPr>
            <w:tcW w:type="dxa" w:w="51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当使用Windows客户端时，应共用现有Go API与权限，并提供与网页对应的业务入口。</w:t>
            </w:r>
          </w:p>
        </w:tc>
        <w:tc>
          <w:tcPr>
            <w:tcW w:type="dxa" w:w="28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官方全量C#/Go读取联调、客户端状态测试及功能对照；E09、E11。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我已结合源码、测试输出及运行界面审核FR-01至FR-21；各项完成范围和结果见第八节，尚待补充的测试另列。</w:t>
      </w:r>
    </w:p>
    <w:p>
      <w:pPr>
        <w:pStyle w:val="Heading1"/>
        <w:widowControl/>
        <w:spacing w:after="100"/>
      </w:pPr>
      <w:r>
        <w:t>五、业务规则与关键决定</w:t>
      </w:r>
    </w:p>
    <w:p>
      <w:pPr>
        <w:widowControl/>
        <w:spacing w:after="100"/>
      </w:pPr>
      <w:r>
        <w:t>数据只提供交易事实，不能替我决定何种候选可以自动接受。为降低错误关联风险，我选择保守首轮自动处理，并把可解释推荐交给人工确认。规则、例外和反例共同决定系统结果，而不是只以配对数量评价方案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7"/>
        <w:gridCol w:w="4535"/>
        <w:gridCol w:w="3056"/>
      </w:tblGrid>
      <w:tr>
        <w:trPr>
          <w:cantSplit/>
          <w:tblHeader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适用判断与例外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依据和验证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R-01 保守候选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客户、商品、精确单价及国家/地区相同；销售严格早于取消，余量足够。缺身份、疑似重复或多候选不自动确认。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项目选择；不推断不存在的原单标签。歧义及时间边界见E03。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R-02 数量与精度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一条取消只对应一条销售，不跨销售分摊；买10退4后余6，累计退量不能超容量；显示舍入不改变精确判定。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余量、价格、并发和事务回滚测试；E03、E06、E10。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R-03 建议不即生效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review-1.0.0可提出唯一、整单及最近一笔等建议；并列时不默认第一项，人工复核确认后才写入。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与首轮conservative-1.0.0分开；初始分类不因复核成果而重写；E06。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R-04 重复组容量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完全重复销售经确认后共享一次容量，以最早源行为代表；来源仍全部保留。冲突组件整体跳过，其余可继续。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不允许并发重复占用同一容量；E06及相关store/HTTP测试。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R-05 状态与历史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待处理、处理中、已关闭有顺序；关闭后只读。FR-20新增规则要求未解决问题不能仅凭非空文字关闭。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旧文字结案规则不覆盖最新补充重算要求；E05、E10。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R-06 权限与安全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首次配置须完成强密码及实际因素；国家/地区范围贯穿查询、候选、CSV和写入，仓库还受本人派单约束。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事务内复查，范围变化使旧会话/快照失效；E07、E08、E11。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R-07 补充与重核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修正保存为有效覆盖，原始记录、首次决定及已有分配不删；原因变化时旧问题流转并建立未派单的新问题。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每轮资料版本、请求号和审计可追溯；E10。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R-08 变更与审计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写操作检查版本及幂等号，与审计同事务；失败全部回滚。删除账户撤销认证并退回未办结派单，已办结历史保留。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并发、撤销、故障回滚及删除影响反例；E06、E08、E09。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人工推荐、补录或合成验收数据均必须标明性质。用于演示的销售补录不等于官方原始交易，不能伪造凭证来提高覆盖率；未知关系应保留未解决状态及下一步所需资料。</w:t>
      </w:r>
    </w:p>
    <w:p>
      <w:pPr>
        <w:pStyle w:val="Heading1"/>
        <w:widowControl/>
        <w:spacing w:after="100"/>
      </w:pPr>
      <w:r>
        <w:t>六、方案比较与实现设计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3155"/>
        <w:gridCol w:w="4239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实际选择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比较的方案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最终做法及原因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后端服务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FastAPI与Go/Gin；也讨论过Rust、Java及C#后端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采用Go/Gin继续现有业务和事务实现。未做同机器完整框架横评，不声称固定速度倍数。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数据保存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单机SQLite与独立数据库服务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采用SQLite，数据保存在独立实例文件中，便于单机运行；通过索引和受控事务处理查询/写入，接受单写者限制。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使用界面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React网页与Windows原生界面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两端共用Go API；Windows使用WinUI 3和C#/XAML，不另写一套配对、权限或审计规则。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资料修正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复制全量有效投影与只存改动行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新运行使用原始数据加稀疏覆盖，避免每次先复制百万行；兼容旧完整投影，不重建正式历史。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3155"/>
        <w:gridCol w:w="4239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模块或页面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输入与职责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输出及对应需求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Python准备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官方工作簿、来源散列、清洗与标准化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可追溯准备记录，FR-01～04。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Go规则与存储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来源、候选、余额、状态、权限和请求版本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首轮结果、复核/补充决定与事务审计，FR-05～20。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React网页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会话、运行、筛选与用户动作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服务端分页表格、工作台、任务及账户页面。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WinUI 3客户端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同一API及授权数据；内存会话与Cookie/CSRF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原生查询、派单、批量、补充、任务与账户入口，FR-21。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OpenAPI与契约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60个路径、64个操作及48个组件模型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可检查的接入约定、实际处理器契约和中文说明。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读取由服务端筛选、排序和分页，客户端不装载百万条交易。精确金额及高精度时间按字符串传递，界面不做时区换算。客户端取消或屏蔽旧请求的迟到响应；写请求不自动重试，避免重复处理。</w:t>
      </w:r>
    </w:p>
    <w:p>
      <w:pPr>
        <w:widowControl/>
        <w:spacing w:after="100"/>
      </w:pPr>
      <w:r>
        <w:t>原生Passkey使用固定RP及逻辑Origin，稳定backend_id区分后端实例。挑战同时绑定实际许可入口、流程和账户版本，保留签名、UP/UV、时效和一次性校验。网页不同域名凭据与原生入口分别处理，批准入口不等于已经部署DNS、TLS或局域网服务。</w:t>
      </w:r>
    </w:p>
    <w:p>
      <w:pPr>
        <w:pStyle w:val="Heading1"/>
        <w:widowControl/>
        <w:spacing w:after="100"/>
      </w:pPr>
      <w:r>
        <w:t>七、运行说明与实际运行结果</w:t>
      </w:r>
    </w:p>
    <w:p>
      <w:pPr>
        <w:widowControl/>
        <w:spacing w:after="100"/>
      </w:pPr>
      <w:r>
        <w:t>目标运行环境为已验证的Windows x64。Go负责共用后端，Python 3.12.10及准备依赖随便携后端提供；Windows客户端目录包含.NET 9.0.18、Windows App SDK 1.7.260224002、VC++ CRT和PRI/XBF资源。构建环境的Go、Node及其他依赖以项目锁文件和运行说明为准。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9"/>
        <w:gridCol w:w="4436"/>
        <w:gridCol w:w="3943"/>
      </w:tblGrid>
      <w:tr>
        <w:trPr>
          <w:cantSplit/>
          <w:tblHeader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从零操作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应看到的结果及证据</w:t>
            </w:r>
          </w:p>
        </w:tc>
      </w:tr>
      <w:tr>
        <w:trPr>
          <w:cantSplit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解压完整交付目录，至少预留8GiB空间；保留teacher-demo与dist/windows-x64全目录。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后端与客户端运行文件齐全，清单可核对；E09、E11。</w:t>
            </w:r>
          </w:p>
        </w:tc>
      </w:tr>
      <w:tr>
        <w:trPr>
          <w:cantSplit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双击启动Demo.cmd，按提示联网准备官方all数据并启动Go服务。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独立实例与服务地址明确；首次下载/准备需等待，不依赖作者数据库。</w:t>
            </w:r>
          </w:p>
        </w:tc>
      </w:tr>
      <w:tr>
        <w:trPr>
          <w:cantSplit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为未配置账户设置强密码，实际验证Passkey或TOTP，私人保存并确认恢复码。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配置完成后才可进入业务；秘密不截图、不随包分发。</w:t>
            </w:r>
          </w:p>
        </w:tc>
      </w:tr>
      <w:tr>
        <w:trPr>
          <w:cantSplit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使用网页，或打开dist/windows-x64/Reconciliation.Windows.exe并测试后端地址。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常用本机入口为http://localhost:8080；客户端不会自行启动Go后端。</w:t>
            </w:r>
          </w:p>
        </w:tc>
      </w:tr>
      <w:tr>
        <w:trPr>
          <w:cantSplit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查询来源与差异，比较候选，在独立实例演示派单、核查及异常拒绝。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来源、状态、版本和审计对应；未解决问题继续核查，不强行关闭。</w:t>
            </w:r>
          </w:p>
        </w:tc>
      </w:tr>
      <w:tr>
        <w:trPr>
          <w:cantSplit/>
        </w:trPr>
        <w:tc>
          <w:tcPr>
            <w:tcW w:type="dxa" w:w="147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4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正常关闭客户端，使用停止Demo.cmd停止对应后端实例。</w:t>
            </w:r>
          </w:p>
        </w:tc>
        <w:tc>
          <w:tcPr>
            <w:tcW w:type="dxa" w:w="39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保留已持久化业务；不终止其他未知进程。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官方all首轮固定结果为：19,164条接纳取消中，9,714条自动配对、6,275条疑似、3,175条在当前规则下无合格原单；初始差异9,450条。覆盖率9,714÷19,164约50.69%，不等于准确率。原始可识别取消19,494＝接纳19,164＋排除330；无法识别单号的其他排除不猜作取消（E02）。</w:t>
      </w:r>
    </w:p>
    <w:p>
      <w:pPr>
        <w:widowControl/>
        <w:spacing w:after="100"/>
      </w:pPr>
      <w:r>
        <w:t>10月18日官方all隔离复核批次选择5,451条，5,237条成功、214条跳过、0事务失败；分配从9,714增至14,951，初始分类不变。这是本人使用测试财务账户完成的隔离复核成果（E06）。</w:t>
      </w:r>
    </w:p>
    <w:p>
      <w:pPr>
        <w:widowControl/>
        <w:spacing w:after="100"/>
      </w:pPr>
      <w:r>
        <w:t>后续独立实例出现9,715或14,969条既有分配时，以各自快照和处理历史解释；这些数字不替换上面的首轮统计。报告不把不同实例、不同版本和不同处理阶段拼成一组最终数据。</w:t>
      </w:r>
    </w:p>
    <w:p>
      <w:pPr>
        <w:pStyle w:val="Heading1"/>
        <w:widowControl/>
        <w:spacing w:after="100"/>
      </w:pPr>
      <w:r>
        <w:t>八、测试与验证记录</w:t>
      </w:r>
    </w:p>
    <w:p>
      <w:pPr>
        <w:widowControl/>
        <w:spacing w:after="100"/>
      </w:pPr>
      <w:r>
        <w:t>本表将输入、预期、实际和证据分开。E编号对应第十一节的项目相对路径；测试编号为本报告索引，不重排项目原TC编号。本次写报告只复用已保存结果，没有为报告再跑全量或故障注入。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9"/>
        <w:gridCol w:w="3155"/>
        <w:gridCol w:w="3549"/>
        <w:gridCol w:w="986"/>
      </w:tblGrid>
      <w:tr>
        <w:trPr>
          <w:cantSplit/>
          <w:tblHeader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场景及对应要求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输入与预期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已有实际结果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证据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T-01 数据主流程，FR-01～04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官方all，预期可追溯，原始＝接纳＋排除。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1,067,371＝1,038,818＋28,553，来源和清洗结果可查。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E01、E02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T-02 部分退货，R-02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买10退4，预期余6；累计超量不得写分配。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原数量、精确金额和超量回归通过。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E03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T-03 歧义边界，R-01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多候选或缺身份，预期首轮不自动挑选。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engine回归及首轮疑似分类保留，未用“第一项”替代决定。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E02、E03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T-04 工作流及反例，FR-09～15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year1记录0:182派单/开始/关闭；重复派单和空结论应拒绝。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旧实录版本1→2→3→4，3条审计、无新增配对；属于当时版本结果。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E05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T-05 批量端到端，R-03～04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官方all隔离批次；冲突应跳过，重放不得重复。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5,237成功、214跳过、0事务失败；重放无新增。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E06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T-06 认证反例，FR-14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合成签名、错误挑战/入口及重放，预期拒绝越界。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Go处理器与协议测试通过，已完成认证边界审核。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E07、E09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T-07 范围及删除，FR-19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英/法授权边界、并发审批、删除与退回，预期隔离且历史不丢。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账户/申请/删除HTTP及事务回滚测试通过，隔离页面有实录。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E08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T-08 补充重核，FR-20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官方全量隔离副本修正或重核，预期保存原始/既有分配，未解决不得文字结案。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资料版本、关联问题及守恒测试通过；无伪造销售凭证。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E10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T-09 原生读取，FR-21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产品C#连接Go；每页50、深页、筛选和CSV，预期与后端一致。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官方1,067,371行联调通过；第20,000页及1,145,051字节CSV有记录。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E09</w:t>
            </w:r>
          </w:p>
        </w:tc>
      </w:tr>
      <w:tr>
        <w:trPr>
          <w:cantSplit/>
        </w:trPr>
        <w:tc>
          <w:tcPr>
            <w:tcW w:type="dxa" w:w="2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T-10 原生界面，FR-21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640/1100宽度，长名称与四个官方选项卡，预期不遮挡、保持单选和角标。</w:t>
            </w:r>
          </w:p>
        </w:tc>
        <w:tc>
          <w:tcPr>
            <w:tcW w:type="dxa" w:w="35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10月25日18/18隔离场景通过；源值、字段和实际权限不变。</w:t>
            </w:r>
          </w:p>
        </w:tc>
        <w:tc>
          <w:tcPr>
            <w:tcW w:type="dxa" w:w="9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E11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10月25日Go全回归209项顶层、网页前端11项、客户端网络/状态38项通过，Go无失败/跳过；另有18项隔离UI场景。Python25项来自既有数据准备回归，本轮未重跑。组件回归与UI场景不混算为一次统一测试总数，早先31/34项客户端及20项UI结果也不重复累加。</w:t>
      </w:r>
    </w:p>
    <w:p>
      <w:pPr>
        <w:pStyle w:val="Heading2"/>
        <w:widowControl/>
        <w:spacing w:after="100"/>
      </w:pPr>
      <w:r>
        <w:t>验证口径与性能记录</w:t>
      </w:r>
    </w:p>
    <w:p>
      <w:pPr>
        <w:widowControl/>
        <w:spacing w:after="100"/>
      </w:pPr>
      <w:r>
        <w:t>下列结果保留原计时边界与日期。性能底线的历史通过不能自动证明FR-20、FR-21新增路径全部达到了同一延迟目标；请求耗时、页面可见耗时、准备诊断总耗时和正式NFR各自独立。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3155"/>
        <w:gridCol w:w="4239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项目与时点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结论与适用范围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NFR01，一万行，10-17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单次1.7444502秒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≤5秒底线；不是10-25重测。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NFR02，全量首次，10-17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单次67.3385582秒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≤90秒；45秒优选未达。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NFR03，强制重算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同核心候选3单次5.5834541秒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≤15秒；5秒优选未达，不冒称新版本三轮。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NFR04，后台查询，10-17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十路300次零失败；整体P95 149.0449ms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≤500ms；英国类别P95 304.451ms，未达每类200ms优选。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FR-20页面完成，10-20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三次非幂等重核2.642/2.268/2.163秒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点击至列表、详情、统计和审计刷新；含自动化观察开销，均小于本次10秒门槛。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FR-20最终查询诊断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深页1.544秒；国家/地区排序筛选3.207秒；推荐9.540秒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个别查询仍慢；未重跑300并发，不声称全部查询毫秒级。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FR-21官方C#/Go，10-23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首屏4.2554ms；深页7.2516ms；英国筛选353.7215ms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仅请求时间，不是完整WinUI渲染，未保证所有查询≤200ms。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10月16日正式三轮底线原始记录继续保留；10月17日收尾单次与同核心复用另列。FR-20初期无后台任务的300次HTTP诊断P95为434.572ms，不能替代正式NFR04；优化第一轮中止的负载检查也没有记作通过。对应记录见E04、E10。</w:t>
      </w:r>
    </w:p>
    <w:p>
      <w:pPr>
        <w:widowControl/>
        <w:spacing w:after="100"/>
      </w:pPr>
      <w:r>
        <w:t>后续测试覆盖项为原生三角色完整写入、恢复、批量提交与任务流程，Windows Hello/FIDO2跨入口、键盘/读屏、100%/150%/200%系统缩放及无SDK物理另机运行。手机TOTP实机按原决定跳过。已完成的认证协议、业务事务、界面及回归检查计入本人核验记录。</w:t>
      </w:r>
    </w:p>
    <w:p>
      <w:pPr>
        <w:pStyle w:val="Heading1"/>
        <w:widowControl/>
        <w:spacing w:after="100"/>
      </w:pPr>
      <w:r>
        <w:t>九、问题、修正与反思</w:t>
      </w:r>
    </w:p>
    <w:p>
      <w:pPr>
        <w:pStyle w:val="Heading2"/>
        <w:widowControl/>
        <w:spacing w:after="100"/>
      </w:pPr>
      <w:r>
        <w:t>全量准备慢且后台查询失败</w:t>
      </w:r>
    </w:p>
    <w:p>
      <w:pPr>
        <w:widowControl/>
        <w:spacing w:after="100"/>
      </w:pPr>
      <w:r>
        <w:t>10月15日正式全量首次处理约198.84秒，超过90秒底线；后台300次查询出现228次失败。后续根据实际瓶颈调整来源索引、批量事务和读写路径，10月16日三轮最慢约72.34秒，10月17日收尾单次67.34秒，后台查询零失败。45秒/5秒优选差距仍保留，不能因为达到最低线就写成所有目标已达（E04）。</w:t>
      </w:r>
    </w:p>
    <w:p>
      <w:pPr>
        <w:pStyle w:val="Heading2"/>
        <w:widowControl/>
        <w:spacing w:after="100"/>
      </w:pPr>
      <w:r>
        <w:t>补充资料引入新的查询成本</w:t>
      </w:r>
    </w:p>
    <w:p>
      <w:pPr>
        <w:widowControl/>
        <w:spacing w:after="100"/>
      </w:pPr>
      <w:r>
        <w:t>FR-20最初建立全量有效投影需要37.211秒。第一轮改为稀疏覆盖后，写入变快，但UNION查询物化全量，推荐查询仍约13.969秒，因此该轮没有作为最终结果。第二轮按主键读取详情、用两侧索引筛选紧凑页键，生产页面三次重核完成时间降至2.642/2.268/2.163秒。代价是查询与旧投影兼容更复杂，深页及部分筛选仍存在秒级路径；没有因此修改规则或缩小官方全量（E10）。</w:t>
      </w:r>
    </w:p>
    <w:p>
      <w:pPr>
        <w:pStyle w:val="Heading2"/>
        <w:widowControl/>
        <w:spacing w:after="100"/>
      </w:pPr>
      <w:r>
        <w:t>发布目录缺失资源导致客户端启动失败</w:t>
      </w:r>
    </w:p>
    <w:p>
      <w:pPr>
        <w:widowControl/>
        <w:spacing w:after="100"/>
      </w:pPr>
      <w:r>
        <w:t>Windows客户端首次发布在窗口出现前失败，事件代码0xc000027b。排查发现SDK发布项遗漏产品PRI/XBF，随后显式加入资源，并补齐本地VC++ CRT及许可证。最终使用完整发布入口生成511项清单并逐文件核对；同机复制启动成功；无SDK物理另机测试待补充（E09）。</w:t>
      </w:r>
    </w:p>
    <w:p>
      <w:pPr>
        <w:pStyle w:val="Heading2"/>
        <w:widowControl/>
        <w:spacing w:after="100"/>
      </w:pPr>
      <w:r>
        <w:t>页面边界检查没有覆盖真实布局条件</w:t>
      </w:r>
    </w:p>
    <w:p>
      <w:pPr>
        <w:widowControl/>
        <w:spacing w:after="100"/>
      </w:pPr>
      <w:r>
        <w:t>早期仅检查子项“不越界”，未能发现切换到可见状态的派单控件尺寸为零；修正测量流程并增加可见尺寸断言后通过。弹窗居中问题则来自在ContentDialog本体限宽，改为只限制内部面板，14个模态面板记录最大中心误差0.222逻辑像素。10月25日又修正固定宽度导致的长名称遮挡，改用自适应分列及换行，并采用官方SelectorBar。经验是每项界面断言必须对应实际问题，而不能把“没报错”当作布局正确（E11、E12）。</w:t>
      </w:r>
    </w:p>
    <w:p>
      <w:pPr>
        <w:pStyle w:val="Heading2"/>
        <w:widowControl/>
        <w:spacing w:after="100"/>
      </w:pPr>
      <w:r>
        <w:t>只读诊断也必须验证实际驱动行为</w:t>
      </w:r>
    </w:p>
    <w:p>
      <w:pPr>
        <w:widowControl/>
        <w:spacing w:after="100"/>
      </w:pPr>
      <w:r>
        <w:t>曾有诊断采用普通路径的mode=ro却未被驱动正确识别，关闭时checkpoint导致源文件物理SHA变化，该轮记录为失败。改为file URI并检查驱动只读状态后，复验源SHA前后一致。只核对业务行摘要不足以证明源文件没有被写；原失败记录不能被后来的通过覆盖（E04）。</w:t>
      </w:r>
    </w:p>
    <w:p>
      <w:pPr>
        <w:pStyle w:val="Heading1"/>
        <w:widowControl/>
        <w:spacing w:after="100"/>
      </w:pPr>
      <w:r>
        <w:t>十、AI 工具使用与个人核验</w:t>
      </w:r>
    </w:p>
    <w:p>
      <w:pPr>
        <w:widowControl/>
        <w:spacing w:after="100"/>
      </w:pPr>
      <w:r>
        <w:t>Codex主要用于需求拆解、代码与测试实现、排错、数据/权限边界核对、过程归档和报告整理。Claude Code参与网页、原生客户端界面及中期汇报材料。老师已批准将Claude Code格式替换为Codex对应格式，项目按实际使用工具保存材料。</w:t>
      </w:r>
    </w:p>
    <w:p>
      <w:pPr>
        <w:widowControl/>
        <w:spacing w:after="100"/>
      </w:pPr>
      <w:r>
        <w:t>我提出并确认了强密码及Passkey/TOTP、账户国家/地区分工、仓库申请、资料补充重核、Windows客户端及界面反馈等要求。关键决定需要能从规则、输入和结果解释，而不是直接采用AI给出的结论。例如最近一笔只能作为建议，不能因其看起来合理就自动确定为真实原单。</w:t>
      </w:r>
    </w:p>
    <w:p>
      <w:pPr>
        <w:widowControl/>
        <w:spacing w:after="100"/>
      </w:pPr>
      <w:r>
        <w:t>我借助工具完成了官方来源与散列、独立SQL/守恒检查、自动回归、处理器契约、浏览器/原生界面及发布清单审核。三角色Passkey配置和登录已有记录；其后的认证协议、课程审核和隔离宿主检查均纳入本人核验记录。后续需补充的测试覆盖范围见第八节。</w:t>
      </w:r>
    </w:p>
    <w:p>
      <w:pPr>
        <w:widowControl/>
        <w:spacing w:after="100"/>
      </w:pPr>
      <w:r>
        <w:t>完整模型调用量和货币费用没有可核对的全量账单，记为未提供；不能从单轮记录推算项目总成本。测试数、提交数和截图数只用于定位过程，不替代质量、本人理解或验收结论。</w:t>
      </w:r>
    </w:p>
    <w:p>
      <w:pPr>
        <w:pStyle w:val="Heading1"/>
        <w:widowControl/>
        <w:spacing w:after="100"/>
      </w:pPr>
      <w:r>
        <w:t>十一、提交索引</w:t>
      </w:r>
    </w:p>
    <w:p>
      <w:pPr>
        <w:widowControl/>
        <w:spacing w:after="100"/>
      </w:pPr>
      <w:r>
        <w:t>本报告对应当前软件与证据，完整交付包包含下列材料。根目录提交索引为统一入口，交付清单记录各文件大小和SHA-256。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3155"/>
        <w:gridCol w:w="4239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材料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项目位置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版本与说明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本报告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最终项目报告.docx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2026-10-27最终版；报告整理未改应用代码。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运行与结果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运行说明.md、教师独立运行说明.md、每日工作记录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根“实际运行结果.txt”为中期快照，最新FR-19～21须看对应交接。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规则与测试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要做什么.md、怎么做.md、怎么算做对.md、测试记录.md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本报告表格提供摘要，原始事实和失败记录保留。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可检查源码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backend、frontend、desktop、portable、tools、docs/api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软件提交585d6d5；最终材料归档提交见交付清单，完整原生历史随项目存档.bundle保存。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当前可运行软件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teacher-demo；dist/windows-x64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后端251项、客户端511项公开运行文件；不含作者认证和业务库。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汇报材料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最终汇报.pptx、最终汇报.pdf、最终汇报网页版和最终汇报讲稿.md</w:t>
            </w:r>
          </w:p>
        </w:tc>
        <w:tc>
          <w:tcPr>
            <w:tcW w:type="dxa" w:w="42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同源10页，覆盖当前功能、测试、结果及限制；PPTX为播放版。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最终材料按本次版本交付，必要的后续测试覆盖见第八节。课堂预演与发送仍按实际发生后的记录登记，11月16日冻结、11月17日只使用准备好的版本。</w:t>
      </w:r>
    </w:p>
    <w:p>
      <w:pPr>
        <w:pStyle w:val="Heading2"/>
        <w:widowControl/>
        <w:spacing w:after="100"/>
      </w:pPr>
      <w:r>
        <w:t>证据路径索引</w:t>
      </w:r>
    </w:p>
    <w:p>
      <w:pPr>
        <w:widowControl/>
        <w:spacing w:after="100"/>
      </w:pPr>
      <w:r>
        <w:t>日期开头的路径以“每日工作记录/”为基目录，其余以项目根目录为基准。E编号供本报告定位，原FR、TC、NFR编号和实际文件名不变。</w:t>
      </w:r>
    </w:p>
    <w:tbl>
      <w:tblPr>
        <w:tblW w:type="dxa" w:w="985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4"/>
        <w:gridCol w:w="8774"/>
      </w:tblGrid>
      <w:tr>
        <w:trPr>
          <w:cantSplit/>
          <w:tblHeader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证据位置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E01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资料/官方数据只读核查.md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E02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实际运行结果.txt；2026-10-17/优选目标续作/收尾NFR02/NFR02-1/trial.json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E03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backend/internal/reconcile/engine_test.go；backend/internal/store/workflow_test.go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E04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2026-10-17/优选目标续作/收尾与首次引导.md；2026-10-17/前端设计优化/Codex第二轮集成结果.md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E05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2026-10-16/v1.2汇报复核与补验.md；2026-10-16/截图/v12中期复核/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E06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2026-10-18/批量复核实现/TC55官方all隔离HTTP-通过.json；TC55官方全量隔离验证说明.md（同目录）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E07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backend/internal/auth/security_test.go；2026-10-19/Passkey批准域名/实现与交接.md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E08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2026-10-19/账户管理与国家权限/实现与交接.md；2026-10-19/删除账户与Passkey通知/实现与交接.md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E09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2026-10-23/FR21-Windows客户端/执行交接.md、验证汇总.json、official-csharp-integration.json（后两项同目录）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E10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2026-10-20/FR20差异补充与重算/执行交接.md；2026-10-20/FR20重算性能优化/执行交接.md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E11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desktop/功能对照表.md；2026-10-25/FR21-国家地区与官方选项卡/执行交接.md、验证汇总.json（同目录）</w:t>
            </w:r>
          </w:p>
        </w:tc>
      </w:tr>
      <w:tr>
        <w:trPr>
          <w:cantSplit/>
        </w:trPr>
        <w:tc>
          <w:tcPr>
            <w:tcW w:type="dxa" w:w="10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E12</w:t>
            </w:r>
          </w:p>
        </w:tc>
        <w:tc>
          <w:tcPr>
            <w:tcW w:type="dxa" w:w="87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9"/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2026-10-23/FR21-国家范围与弹窗居中/执行交接.md；2026-10-23/FR21-界面裁剪与账户选择/执行交接.md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widowControl/>
        <w:spacing w:after="100"/>
      </w:pPr>
      <w:r>
        <w:t>提交前检查：来源、规则及证据路径已核对，最终汇报与完整包统一使用本次材料；认证秘密及作者数据库不随包提交。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7"/>
      </w:rPr>
      <w:t>软件编程课程项目  VC-R-03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退货对账与差异处理系统最终报告</dc:title>
  <dc:subject>VC-R-03 课程要求v1.2 最终报告</dc:subject>
  <dc:creator>王麒皓 20251101030 机国际2502</dc:creator>
  <cp:keywords/>
  <dc:description>更新2026-10-27</dc:description>
  <cp:lastModifiedBy/>
  <cp:revision>1</cp:revision>
  <dcterms:created xsi:type="dcterms:W3CDTF">2013-12-23T23:15:00Z</dcterms:created>
  <dcterms:modified xsi:type="dcterms:W3CDTF">2026-10-27T00:48:34Z</dcterms:modified>
  <cp:category/>
</cp:coreProperties>
</file>