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退货对账与差异处理中期报告</w:t>
      </w:r>
    </w:p>
    <w:p>
      <w:pPr>
        <w:pStyle w:val="Subtitle"/>
      </w:pPr>
      <w:r>
        <w:t>软件编程大作业  VC-R-03  课程要求 v1.2</w:t>
      </w:r>
    </w:p>
    <w:p>
      <w:r>
        <w:t>王麒皓  20251101030  机国际2502  2026-10-16</w:t>
      </w:r>
    </w:p>
    <w:p>
      <w:pPr>
        <w:pStyle w:val="Heading1"/>
      </w:pPr>
      <w:r>
        <w:t>一 选题与背景</w:t>
      </w:r>
    </w:p>
    <w:p>
      <w:r>
        <w:t>本项目帮助财务和仓库核查无法直接关联原销售的取消记录。当前已完成公开数据准备、保守配对、差异派单与结案、权限审计和网页查询；已有两年度全量实跑及主流程、边界验证。本文说明当前成果、判断依据和限制，最终验收仍需持续核对。</w:t>
      </w:r>
    </w:p>
    <w:p>
      <w:r>
        <w:t>数据来自 UCI Online Retail II，DOI 10.24432/C5CG6D，许可 CC BY 4.0。使用 online_retail_II.xlsx 的两个年度工作表，原件只读。Invoice、StockCode、Description、Quantity、InvoiceDate、Price、Customer ID、Country 是原始事实；配对关系、角色、工单和处理结论是规则推断或课程模拟记录。系统不执行实际退款，不接入支付或物流。</w:t>
      </w:r>
    </w:p>
    <w:p>
      <w:pPr>
        <w:pStyle w:val="Heading1"/>
      </w:pPr>
      <w:r>
        <w:t>二 需求</w:t>
      </w:r>
    </w:p>
    <w:p>
      <w:r>
        <w:t>以下按原 FR 编号摘要列出，完整“系统应当”条文、4 项不做内容及 CR 清洗规则见《要做什么.md》。18 项均有实现，具体实测范围与设备验证边界按第五节记录，不将实现等同全部真机验收。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8731"/>
      </w:tblGrid>
      <w:tr>
        <w:trPr>
          <w:cantSplit/>
          <w:tblHeader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8"/>
              </w:rPr>
              <w:t>系统应当完成的行为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FR-01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读取官方原件并验证出处与散列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FR-02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支持 benchmark、year1、all 并显示进度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FR-03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清洗并保留源行及排除原因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FR-04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展示接纳、排除与守恒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FR-05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不自动确认无候选、多候选或缺身份记录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FR-06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唯一合格候选自动配对且不超退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FR-07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检索、服务端分页与证据详情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FR-08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相同输入幂等且保留人工历史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FR-09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财务或管理员派单并留痕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FR-10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拒绝重复派单，并发最多一次成功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FR-11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仅按待处理、处理中、已关闭顺序流转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FR-12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责任人确认候选时重验余量与版本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FR-13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关闭前必须填写非空结论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FR-14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首次强密码加 Passkey 或 2FA，后端校验权限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FR-15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成功业务动作与不可改审计同事务写入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FR-16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财务或管理员导出全部筛选结果 CSV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FR-17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全量处理与并发查询达到四项底线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FR-18</w:t>
            </w:r>
          </w:p>
        </w:tc>
        <w:tc>
          <w:tcPr>
            <w:tcW w:type="dxa" w:w="87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提供复现、失败说明与完整 Git 历史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pStyle w:val="Heading1"/>
        <w:pageBreakBefore/>
      </w:pPr>
      <w:r>
        <w:t>三 设计与技术选型</w:t>
      </w:r>
    </w:p>
    <w:p>
      <w:r>
        <w:t>数据流为官方工作簿 → Python 准备 → Go/Gin 配对及工作流 → SQLite 持久化 → React/TypeScript 查询与证据页面。Python 负责读取原始 XML、清洗和来源回执；后端负责规则、数量事务、认证和权限；页面不决定身份或配对结果。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8334"/>
      </w:tblGrid>
      <w:tr>
        <w:trPr>
          <w:cantSplit/>
          <w:tblHeader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数据对象</w:t>
            </w:r>
          </w:p>
        </w:tc>
        <w:tc>
          <w:tcPr>
            <w:tcW w:type="dxa" w:w="83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关键内容与约束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来源与准备</w:t>
            </w:r>
          </w:p>
        </w:tc>
        <w:tc>
          <w:tcPr>
            <w:tcW w:type="dxa" w:w="83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source_files/source_rows/datasets/normalized_rows：文件散列、工作表、源行和接纳排除口径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运行与数量</w:t>
            </w:r>
          </w:p>
        </w:tc>
        <w:tc>
          <w:tcPr>
            <w:tcW w:type="dxa" w:w="83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runs/allocations/sale_balances：相同输入唯一、取消行唯一分配、销售累计退量不超原量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核查与证据</w:t>
            </w:r>
          </w:p>
        </w:tc>
        <w:tc>
          <w:tcPr>
            <w:tcW w:type="dxa" w:w="83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cases/candidate_evidence/audit_events：归属、状态、版本、结论和前后操作记录</w:t>
            </w:r>
          </w:p>
        </w:tc>
      </w:tr>
      <w:tr>
        <w:trPr>
          <w:cantSplit/>
        </w:trPr>
        <w:tc>
          <w:tcPr>
            <w:tcW w:type="dxa" w:w="141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账户与会话</w:t>
            </w:r>
          </w:p>
        </w:tc>
        <w:tc>
          <w:tcPr>
            <w:tcW w:type="dxa" w:w="833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用户、会话、Passkey、TOTP 和恢复材料表：服务端验证，秘密只存项目外运行状态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2026-10-14 的 D-02 选择唯一候选保守配对，放弃数量相等优先和跨销售分摊，代价是更多待核查。D-03 保留 year1 首版与 all 最终全量，benchmark 只用于独立基准。D-04 选择 Go/Gin 与 SQLite；FastAPI、Rust、C#、Java 是备选，没有同条件实测，不宣称固定速度倍数。详见《决定记录.md》。</w:t>
      </w:r>
    </w:p>
    <w:p>
      <w:pPr>
        <w:pStyle w:val="Heading1"/>
      </w:pPr>
      <w:r>
        <w:t>四 实现情况与实际结果</w:t>
      </w:r>
    </w:p>
    <w:p>
      <w:r>
        <w:t>当前清洗 cr-1.0.1、规则 conservative-1.0.0。C 前缀识别取消，关键格式/非正价格等异常记录排除并留主要原因；缺客户保留核查，跨表副本按出现次数对应。精确十进制价格用于判定，显示舍入不参与配对。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1757"/>
        <w:gridCol w:w="1757"/>
        <w:gridCol w:w="1531"/>
        <w:gridCol w:w="3118"/>
      </w:tblGrid>
      <w:tr>
        <w:trPr>
          <w:cantSplit/>
          <w:tblHeader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9"/>
              </w:rPr>
              <w:t>数据范围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原始行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接纳行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排除行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9"/>
              </w:rPr>
              <w:t>自动配对取消行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benchmark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10,000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9,972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28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见独立基准输出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year1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525,461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521,770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3,691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5,214 / 10,205</w:t>
            </w:r>
          </w:p>
        </w:tc>
      </w:tr>
      <w:tr>
        <w:trPr>
          <w:cantSplit/>
        </w:trPr>
        <w:tc>
          <w:tcPr>
            <w:tcW w:type="dxa" w:w="158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9"/>
              </w:rPr>
              <w:t>all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1,067,371</w:t>
            </w:r>
          </w:p>
        </w:tc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1,038,818</w:t>
            </w:r>
          </w:p>
        </w:tc>
        <w:tc>
          <w:tcPr>
            <w:tcW w:type="dxa" w:w="153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28,553</w:t>
            </w:r>
          </w:p>
        </w:tc>
        <w:tc>
          <w:tcPr>
            <w:tcW w:type="dxa" w:w="3118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9"/>
              </w:rPr>
              <w:t>9,714 / 19,164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all 接纳取消 19,164 = 自动 9,714 + 疑似 6,275 + 当前规则下无合格原单 3,175，初始差异 9,450。配对覆盖率 50.69%，没有真实原订单关联标签，不能解释为准确率。year1 初始覆盖率为 51.09%。</w:t>
      </w:r>
    </w:p>
    <w:p>
      <w:r>
        <w:t>R-02 要求客户、商品、精确价格、国家相同，销售严格在先且余量足够；只有唯一合格候选才自动确认。R-03 支持买 10 退 4，但累计退量不能超过 10，一条取消不跨多条销售分摊。R-04 要求先开始再带非空结论关闭，资料不足结案不新增配对。这些约束分别改变候选选择、数量分配和结案结果。</w:t>
      </w:r>
    </w:p>
    <w:p>
      <w:r>
        <w:t>本机双击“启动Demo.cmd”复用已构建的优化版与既有演示库；“测试Demo.cmd”运行隔离回归。另机从零按《运行说明.md》执行 bootstrap、build、prepare-demo/start；原件与依赖需事先准备，账户须本人完成强密码和因素配置。当前机器已有三个 Passkey 账户，不能将本机入口称为无依赖的通用安装包。</w:t>
      </w:r>
    </w:p>
    <w:p>
      <w:pPr>
        <w:pStyle w:val="Heading1"/>
        <w:pageBreakBefore/>
      </w:pPr>
      <w:r>
        <w:t>五 测试与验收</w:t>
      </w:r>
    </w:p>
    <w:p>
      <w:r>
        <w:t>已有 76 项 Go 顶层、15 项 Python、6 项前端自动测试，共 97 项通过，零失败、零跳过，PowerShell 7 与 5.1 均有记录。重复运行不重复计数。以下分别列自动夹具和真实浏览器结果，原始输出与测试源码均随包提供。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3685"/>
        <w:gridCol w:w="4706"/>
      </w:tblGrid>
      <w:tr>
        <w:trPr>
          <w:cantSplit/>
          <w:tblHeader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8"/>
              </w:rPr>
              <w:t>用例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8"/>
              </w:rPr>
              <w:t>输入与预期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8"/>
              </w:rPr>
              <w:t>实际结果及证据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TC-19/24 主流程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year1 0:182 派给 finance；开始后填理由关闭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v1→v2→v3→v4，三条审计；资料不足结案，未新增配对。实录图 05、10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TC-20 重复派单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已有 finance 责任人，再次派单应拒绝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显示已有责任人 finance，仍 v2。实录图 06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TC-24 空结论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处理中不填结论关闭，应拒绝且状态不变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仍处理中 v3，未增加关闭审计。实录图 08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TC-10 多候选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all 0:1378 有两条合格候选，不自动挑选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0:1271、0:1368 各余 12，仍待核查。实录图 03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TC-09/13/14 数量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夹具买10退4余6，再退6余0；余3退4应拒绝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自动用例通过；超量不留半次分配。reconcile/engine_test.go</w:t>
            </w:r>
          </w:p>
        </w:tc>
      </w:tr>
      <w:tr>
        <w:trPr>
          <w:cantSplit/>
        </w:trPr>
        <w:tc>
          <w:tcPr>
            <w:tcW w:type="dxa" w:w="1361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FR-07 分页边界</w:t>
            </w:r>
          </w:p>
        </w:tc>
        <w:tc>
          <w:tcPr>
            <w:tcW w:type="dxa" w:w="368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客户13526共54条，每页50；不存在商品返回空</w:t>
            </w:r>
          </w:p>
        </w:tc>
        <w:tc>
          <w:tcPr>
            <w:tcW w:type="dxa" w:w="4706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第二页4条且下一页禁用；空结果0条，非加载错误。实录图 11、12、14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图号指“每日工作记录/2026-10-16/截图/v12中期复核”。0:182 是 finance 自任处理人的本轮闭环；此前跨角色、权限和 CSV 核对另有 10-15 记录。Passkey 配置由本人操作，业务点击和新 CLI 调用由 AI 辅助执行，不能当作本人手工完成所有新版测试。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4649"/>
        <w:gridCol w:w="3345"/>
      </w:tblGrid>
      <w:tr>
        <w:trPr>
          <w:cantSplit/>
          <w:tblHeader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  <w:jc w:val="center"/>
            </w:pPr>
            <w:r>
              <w:rPr>
                <w:b/>
                <w:sz w:val="18"/>
              </w:rPr>
              <w:t>性能项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8"/>
              </w:rPr>
              <w:t>三次实测或并发结果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  <w:shd w:fill="E8EDF1"/>
          </w:tcPr>
          <w:p>
            <w:pPr>
              <w:spacing w:after="20" w:before="20" w:line="245" w:lineRule="auto"/>
            </w:pPr>
            <w:r>
              <w:rPr>
                <w:b/>
                <w:sz w:val="18"/>
              </w:rPr>
              <w:t>底线与结论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NFR-01 一万行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1.839084 / 1.612311 / 1.598021 s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≤5 s，通过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NFR-02 全量首次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72.336732 / 71.975185 / 71.915839 s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≤90 s，通过；45 s 优选未达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NFR-03 全量重算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10.732953 / 10.806692 / 10.955740 s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≤15 s，通过；5 s 优选未达</w:t>
            </w:r>
          </w:p>
        </w:tc>
      </w:tr>
      <w:tr>
        <w:trPr>
          <w:cantSplit/>
        </w:trPr>
        <w:tc>
          <w:tcPr>
            <w:tcW w:type="dxa" w:w="1757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  <w:jc w:val="center"/>
            </w:pPr>
            <w:r>
              <w:rPr>
                <w:b w:val="0"/>
                <w:sz w:val="18"/>
              </w:rPr>
              <w:t>NFR-04 后台任务时查询</w:t>
            </w:r>
          </w:p>
        </w:tc>
        <w:tc>
          <w:tcPr>
            <w:tcW w:type="dxa" w:w="4649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10路、300次、0失败，P95 11.7245 ms</w:t>
            </w:r>
          </w:p>
        </w:tc>
        <w:tc>
          <w:tcPr>
            <w:tcW w:type="dxa" w:w="3345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55" w:type="dxa"/>
              <w:bottom w:w="55" w:type="dxa"/>
              <w:left w:w="55" w:type="dxa"/>
              <w:right w:w="55" w:type="dxa"/>
            </w:tcMar>
          </w:tcPr>
          <w:p>
            <w:pPr>
              <w:spacing w:after="20" w:before="20" w:line="245" w:lineRule="auto"/>
            </w:pPr>
            <w:r>
              <w:rPr>
                <w:b w:val="0"/>
                <w:sz w:val="18"/>
              </w:rPr>
              <w:t>≤500 ms，通过，也达200 ms优选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r>
        <w:t>计时边界为本地原件已在、依赖与程序已构建，不含下载安装编译。正式成绩来自 97b790a 对应的“正式NFR01-03/summary.json”“正式NFR04/summary.json”；自动回归见“辅导收工回归/summary.json”，路径均在 2026-10-16 原始输出目录。</w:t>
      </w:r>
    </w:p>
    <w:p>
      <w:r>
        <w:t>冷启动后账号与业务记录保留：首页 200、未登录业务 401；year1 为待处理 4,988、处理中 0、关闭 3，总 4,991。外层启动测试包装进程未自行结束并被终止，不能记为包装器退出 0；服务保持运行。</w:t>
      </w:r>
    </w:p>
    <w:p>
      <w:pPr>
        <w:pStyle w:val="Heading1"/>
        <w:pageBreakBefore/>
      </w:pPr>
      <w:r>
        <w:t>六 开发过程与AI使用</w:t>
      </w:r>
    </w:p>
    <w:p>
      <w:r>
        <w:t>本报告整理前源码基线 1085e2e，main 共 46 次原生提交，实际日期跨度为 2026-10-14 至 10-16；后续归档提交不回改这次统计。代表提交：97b790a 完成全量与查询优化；d3b3700 复核中期材料并补验；78df10d 完成 v1.2 网页主讲及同源静态备份。完整历史由 bundle 保存。</w:t>
      </w:r>
    </w:p>
    <w:p>
      <w:r>
        <w:t>开发与检查主要使用 Codex，当前网页汇报由 Claude Code 调整。AI 用于代码、测试、排错和材料整理；关键数字对照官方原件、原始输出和真实浏览器画面核验。本人提出需求、选择技术方案，并完成三账户 Passkey 配置。AGENTS 约束范围，run-app 已由新 CLI 显式调用并退出 0；技能结果页是输出摘录展示，不是 CLI 实拍。</w:t>
      </w:r>
    </w:p>
    <w:p>
      <w:r>
        <w:t>上下文压缩次数和前后占用未取得完整可核验记录，不填估算数；已有保留记录继续归档。没有以聊天篇数、截图数或记录天数代替功能完成度。</w:t>
      </w:r>
    </w:p>
    <w:p>
      <w:pPr>
        <w:pStyle w:val="Heading1"/>
      </w:pPr>
      <w:r>
        <w:t>七 问题与解决</w:t>
      </w:r>
    </w:p>
    <w:p>
      <w:r>
        <w:t>全量首次处理曾耗时 198.84 s，并发 300 次查询有 228 次失败。实测定位后调整处理批次、查询索引和读写路径，正式复测达到四项底线；首次 45 s、重算 5 s 优选仍未达，按本人决定停止追加优化。旧失败与复测输出均保留。</w:t>
      </w:r>
    </w:p>
    <w:p>
      <w:r>
        <w:t>PowerShell 5.1 把 Python 正常 stderr 进度当作 NativeCommandError。真实复现后改为异步分流并依据进程退出码判断，随后两种 Shell 回归通过；不能把单一 Shell 的通过推成跨 Shell 兼容。</w:t>
      </w:r>
    </w:p>
    <w:p>
      <w:r>
        <w:t>客户编号 00042 曾被转换为 42。通过文本编号反例发现，修复为保留字符串语义并添加回归。另有应用目录虚拟化造成路径比较误拒绝，采用目录身份核对；修复前输出保留，不以成功截图覆盖失败。</w:t>
      </w:r>
    </w:p>
    <w:p>
      <w:pPr>
        <w:pStyle w:val="Heading1"/>
      </w:pPr>
      <w:r>
        <w:t>八 成本统计</w:t>
      </w:r>
    </w:p>
    <w:p>
      <w:r>
        <w:t>项目全程 token 和货币费用未完整取得，记为未提供。仅技能核查这一新 CLI 轮次有输入 83,827、其中缓存输入 63,744、输出 446 token，不另加缓存输入，也不外推项目总量。环境记录包括 Windows amd64、Go 1.27.2、Python 3.12.10、Node 24.18.0；具体锁定依赖见 tools/environment.lock.json 和各包锁文件。</w:t>
      </w:r>
    </w:p>
    <w:p>
      <w:pPr>
        <w:pStyle w:val="Heading1"/>
      </w:pPr>
      <w:r>
        <w:t>九 遗留问题与后续计划</w:t>
      </w:r>
    </w:p>
    <w:p>
      <w:r>
        <w:t>按当前汇报计划：10-23起结合反馈核对 FR-12/16/17；10-26至11-05继续全量边界、异常恢复与从零交付；11-06至11-12核对工程证据和另机兼容；11-13至11-16完成最终报告、实练与冻结，11-17只提交和演示。缺真实记录的真机恢复、人工确认、现场投影及实际计时不写已验证；优选性能差距持续披露。</w:t>
      </w:r>
    </w:p>
    <w:p>
      <w:pPr>
        <w:pStyle w:val="Heading1"/>
      </w:pPr>
      <w:r>
        <w:t>十 自查与材料入口</w:t>
      </w:r>
    </w:p>
    <w:p>
      <w:r>
        <w:t>本项目保留目标为18项FR、4项不做、8条业务规则、6条清洗规则、48个计划TC和4项NFR。它们是项目范围，不称 v1.2 统一课程下限。报告与 PPT 分别供阅读和讲述；主讲网页、同源 PDF、静态 PPTX 和讲稿由本轮打包原样保留。规则见《要做什么.md》，设计见《怎么做.md》，实测见《测试记录.md》，入口见《提交索引.md》。</w:t>
      </w:r>
    </w:p>
    <w:sectPr w:rsidR="00FC693F" w:rsidRPr="0006063C" w:rsidSect="00034616">
      <w:pgSz w:w="11906" w:h="16838"/>
      <w:pgMar w:top="964" w:right="1077" w:bottom="96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69" w:lineRule="auto"/>
    </w:pPr>
    <w:rPr>
      <w:rFonts w:ascii="宋体" w:hAnsi="宋体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 w:line="269" w:lineRule="auto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69" w:lineRule="auto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000000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69" w:lineRule="auto"/>
      <w:contextualSpacing/>
    </w:pPr>
    <w:rPr>
      <w:rFonts w:asciiTheme="majorHAnsi" w:eastAsiaTheme="majorEastAsia" w:hAnsiTheme="majorHAnsi" w:cstheme="majorBidi" w:ascii="宋体" w:hAnsi="宋体" w:eastAsia="宋体"/>
      <w:b/>
      <w:color w:val="000000"/>
      <w:spacing w:val="5"/>
      <w:kern w:val="28"/>
      <w:sz w:val="40"/>
      <w:szCs w:val="52"/>
      <w:u w:val="none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 w:line="269" w:lineRule="auto"/>
    </w:pPr>
    <w:rPr>
      <w:rFonts w:asciiTheme="majorHAnsi" w:eastAsiaTheme="majorEastAsia" w:hAnsiTheme="majorHAnsi" w:cstheme="majorBidi" w:ascii="宋体" w:hAnsi="宋体" w:eastAsia="宋体"/>
      <w:i w:val="0"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退货对账与差异处理中期报告</dc:title>
  <dc:subject/>
  <dc:creator>王麒皓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