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eastAsia="Times New Roman"/>
          <w:b w:val="0"/>
          <w:i w:val="0"/>
          <w:sz w:val="32"/>
        </w:rPr>
        <w:t>An Empirical Reproducibility Audit of MD-YOLO for Small-Object Detection in UAV Imagery</w:t>
      </w:r>
    </w:p>
    <w:p>
      <w:pPr>
        <w:spacing w:after="40" w:line="240" w:lineRule="auto"/>
        <w:jc w:val="center"/>
      </w:pPr>
      <w:r>
        <w:rPr>
          <w:rFonts w:ascii="Times New Roman" w:hAnsi="Times New Roman" w:eastAsia="Times New Roman"/>
          <w:b w:val="0"/>
          <w:i w:val="0"/>
          <w:sz w:val="22"/>
        </w:rPr>
        <w:t>Qinmin Wang¹, Hongyuan Wang¹, Peipei Li¹, and Zongzhong Wang²,*</w:t>
      </w:r>
    </w:p>
    <w:p>
      <w:pPr>
        <w:spacing w:after="40" w:line="240" w:lineRule="auto"/>
        <w:jc w:val="center"/>
      </w:pPr>
      <w:r>
        <w:rPr>
          <w:rFonts w:ascii="Times New Roman" w:hAnsi="Times New Roman" w:eastAsia="Times New Roman"/>
          <w:b w:val="0"/>
          <w:i w:val="0"/>
          <w:sz w:val="22"/>
        </w:rPr>
        <w:t>¹ School of Computer Science and Artificial Intelligence, Guangdong University of Science and Technology, Dongguan, China</w:t>
      </w:r>
    </w:p>
    <w:p>
      <w:pPr>
        <w:spacing w:after="40" w:line="240" w:lineRule="auto"/>
        <w:jc w:val="center"/>
      </w:pPr>
      <w:r>
        <w:rPr>
          <w:rFonts w:ascii="Times New Roman" w:hAnsi="Times New Roman" w:eastAsia="Times New Roman"/>
          <w:b w:val="0"/>
          <w:i w:val="0"/>
          <w:sz w:val="22"/>
        </w:rPr>
        <w:t>² School of Electromechanical Engineering, Guangdong University of Technology, Guangzhou, China</w:t>
      </w:r>
    </w:p>
    <w:p>
      <w:pPr>
        <w:spacing w:after="40" w:line="240" w:lineRule="auto"/>
        <w:jc w:val="center"/>
      </w:pPr>
      <w:r>
        <w:rPr>
          <w:rFonts w:ascii="Times New Roman" w:hAnsi="Times New Roman" w:eastAsia="Times New Roman"/>
          <w:b w:val="0"/>
          <w:i/>
          <w:sz w:val="22"/>
        </w:rPr>
        <w:t>Corresponding author. Email: wangzz@gdut.edu.cn; ORCID: [to be supplied]</w:t>
      </w:r>
    </w:p>
    <w:p>
      <w:pPr>
        <w:spacing w:after="120" w:line="240" w:lineRule="auto"/>
        <w:jc w:val="both"/>
      </w:pPr>
      <w:r>
        <w:rPr>
          <w:rFonts w:ascii="Times New Roman" w:hAnsi="Times New Roman" w:eastAsia="Times New Roman"/>
          <w:b/>
          <w:i w:val="0"/>
          <w:sz w:val="22"/>
        </w:rPr>
        <w:t>Abstract.</w:t>
      </w:r>
      <w:r>
        <w:rPr>
          <w:rFonts w:ascii="Times New Roman" w:hAnsi="Times New Roman" w:eastAsia="Times New Roman"/>
          <w:b w:val="0"/>
          <w:i w:val="0"/>
          <w:sz w:val="22"/>
        </w:rPr>
        <w:t xml:space="preserve"> We present an end-to-end empirical reproducibility audit of MD-YOLO, a multi-scale adaptive, dual-attention enhanced YOLOv11 variant for UAV small-object detection. Previous assessment of this codebase relied purely on static source-code inspection; in this work, we convert the official VisDrone2019-DET split (6,471 training / 548 validation images, 7,019 total, 381,963 boxes) and run the complete detection pipeline on this real aerial corpus. Real-data execution uncovered four runtime defects missed by static review, including a critical double-stride decoding bug that silently yielded mAP = 0. After bug fixes, the pipeline runs end-to-end with converged training loss. Nevertheless, under a reduced training recipe (250 training images, 320 px input resolution, 40 epochs, CPU-only hardware), the model achieves per-class AP@0.50 = 0.0000. Diagnostic decomposition demonstrates that the proposed remedies (TaskAlignedAssigner + VariFocal Loss + WIoU) resolve localization deficiency (mean best-IoU increases from 0.24 to 0.40), while classification performance remains degraded, which originates from a limited data-compute regime rather than software bugs. Further zero-shot cross-domain evaluation on the UAVDT-M dataset reveals severe domain degradation, with mean best-IoU dropping from 0.40 to 0.17. We honestly report these negative experimental observations and clearly separate three non-overlapping categories of failure, to support reproducible UAV object-detection research.</w:t>
      </w:r>
    </w:p>
    <w:p>
      <w:pPr>
        <w:spacing w:after="120" w:line="240" w:lineRule="auto"/>
        <w:jc w:val="both"/>
      </w:pPr>
      <w:r>
        <w:rPr>
          <w:rFonts w:ascii="Times New Roman" w:hAnsi="Times New Roman" w:eastAsia="Times New Roman"/>
          <w:b/>
          <w:i w:val="0"/>
          <w:sz w:val="22"/>
        </w:rPr>
        <w:t>Keywords:</w:t>
      </w:r>
      <w:r>
        <w:rPr>
          <w:rFonts w:ascii="Times New Roman" w:hAnsi="Times New Roman" w:eastAsia="Times New Roman"/>
          <w:b w:val="0"/>
          <w:i w:val="0"/>
          <w:sz w:val="22"/>
        </w:rPr>
        <w:t xml:space="preserve"> aerial object detection; YOLO; reproducibility audit; empirical validation; VisDrone; UAVDT; small object; domain shift</w:t>
      </w:r>
    </w:p>
    <w:p>
      <w:pPr>
        <w:spacing w:before="240" w:after="100" w:line="240" w:lineRule="auto"/>
      </w:pPr>
      <w:r>
        <w:rPr>
          <w:rFonts w:ascii="Times New Roman" w:hAnsi="Times New Roman" w:eastAsia="Times New Roman"/>
          <w:b/>
          <w:i w:val="0"/>
          <w:sz w:val="26"/>
        </w:rPr>
        <w:t>1. Introduction</w:t>
      </w:r>
    </w:p>
    <w:p>
      <w:pPr>
        <w:spacing w:after="120" w:line="240" w:lineRule="auto"/>
        <w:jc w:val="both"/>
      </w:pPr>
      <w:r>
        <w:rPr>
          <w:rFonts w:ascii="Times New Roman" w:hAnsi="Times New Roman" w:eastAsia="Times New Roman"/>
          <w:b w:val="0"/>
          <w:i w:val="0"/>
          <w:sz w:val="22"/>
        </w:rPr>
        <w:t>Unmanned aerial vehicle (UAV) remote sensing has become a cornerstone of modern earth observation, supporting traffic monitoring, disaster response, and precision agriculture (Xia et al. 2018; Cheng et al. 2023). Yet the small ground-sample distance and arbitrary viewing geometry of aerial platforms make object detection a canonical small-object problem: targets are tiny, densely packed, captured from varying altitudes, and frequently occluded (Cheng et al. 2023). Building on the YOLO family of detectors (Redmon et al. 2016; Jocher et al. 2023; Khanam et al. 2024), the MD-YOLO architecture (Multi-scale Adaptive &amp; Dual-Attention Enhanced YOLOv11; MD-YOLO, n.d.) targets this setting with a multi-scale adaptive convolution (MAC) backbone, a dual-attention feature aggregation (DAFA) neck, and four anchor-free detection heads (P2–P5), and—per its design specification—a training regimen layering masked autoencoder (MAE) pretraining (He et al. 2022) and SoftTeacher-style semi-supervised learning (Xu et al. 2021).</w:t>
      </w:r>
    </w:p>
    <w:p>
      <w:pPr>
        <w:spacing w:after="120" w:line="240" w:lineRule="auto"/>
        <w:jc w:val="both"/>
      </w:pPr>
      <w:r>
        <w:rPr>
          <w:rFonts w:ascii="Times New Roman" w:hAnsi="Times New Roman" w:eastAsia="Times New Roman"/>
          <w:b w:val="0"/>
          <w:i w:val="0"/>
          <w:sz w:val="22"/>
        </w:rPr>
        <w:t>A design document is a specification, not a guarantee. Before any accuracy claim can be trusted, the implementation must be shown to (i) execute on real data, (ii) decode and train correctly, and (iii) produce detections whose localization and classification are internally consistent. Previous assessment of this codebase—including a prior static assessment—relied purely on source-code inspection. This paper fills this gap by carrying out empirical validation on real-world aerial data. Our contributions are: (1) we convert and verify the real VisDrone2019-DET dataset and execute the full pipeline on CPU-only hardware; (2) we surface and fix four runtime defects, the most severe of which silently zeroed all detection performance; and (3) we report an honest, negative-leaning result—the pipeline is now correct and localization is resolved, but the method's claimed accuracy is not reproduced under the reduced recipe, and we isolate the root cause as a classification data-regime limitation. We further conduct a real zero-shot cross-domain evaluation on UAVDT-M that quantifies a severe domain shift. We adopt the position that reporting a failed reproduction is itself a contribution to reproducibility, especially for methods whose headline numbers depend on training machinery that is described in the specification but not fully integrated or verified under the claimed full recipe (Pineau et al. 2020).</w:t>
      </w:r>
    </w:p>
    <w:p>
      <w:pPr>
        <w:spacing w:before="240" w:after="100" w:line="240" w:lineRule="auto"/>
      </w:pPr>
      <w:r>
        <w:rPr>
          <w:rFonts w:ascii="Times New Roman" w:hAnsi="Times New Roman" w:eastAsia="Times New Roman"/>
          <w:b/>
          <w:i w:val="0"/>
          <w:sz w:val="26"/>
        </w:rPr>
        <w:t>2. Materials and Methods</w:t>
      </w:r>
    </w:p>
    <w:p>
      <w:pPr>
        <w:spacing w:before="160" w:after="80" w:line="240" w:lineRule="auto"/>
      </w:pPr>
      <w:r>
        <w:rPr>
          <w:rFonts w:ascii="Times New Roman" w:hAnsi="Times New Roman" w:eastAsia="Times New Roman"/>
          <w:b/>
          <w:i w:val="0"/>
          <w:sz w:val="23"/>
        </w:rPr>
        <w:t>2.1 System under test</w:t>
      </w:r>
    </w:p>
    <w:p>
      <w:pPr>
        <w:spacing w:after="120" w:line="240" w:lineRule="auto"/>
        <w:jc w:val="both"/>
      </w:pPr>
      <w:r>
        <w:rPr>
          <w:rFonts w:ascii="Times New Roman" w:hAnsi="Times New Roman" w:eastAsia="Times New Roman"/>
          <w:b w:val="0"/>
          <w:i w:val="0"/>
          <w:sz w:val="22"/>
        </w:rPr>
        <w:t xml:space="preserve">MD-YOLO comprises a </w:t>
      </w:r>
      <w:r>
        <w:rPr>
          <w:rFonts w:ascii="Courier New" w:hAnsi="Courier New" w:eastAsia="Courier New"/>
          <w:b w:val="0"/>
          <w:i w:val="0"/>
          <w:sz w:val="22"/>
        </w:rPr>
        <w:t>stem</w:t>
      </w:r>
      <w:r>
        <w:rPr>
          <w:rFonts w:ascii="Times New Roman" w:hAnsi="Times New Roman" w:eastAsia="Times New Roman"/>
          <w:b w:val="0"/>
          <w:i w:val="0"/>
          <w:sz w:val="22"/>
        </w:rPr>
        <w:t xml:space="preserve"> (stride 2) and four MAC downsampling blocks (</w:t>
      </w:r>
      <w:r>
        <w:rPr>
          <w:rFonts w:ascii="Courier New" w:hAnsi="Courier New" w:eastAsia="Courier New"/>
          <w:b w:val="0"/>
          <w:i w:val="0"/>
          <w:sz w:val="22"/>
        </w:rPr>
        <w:t>down1</w:t>
      </w:r>
      <w:r>
        <w:rPr>
          <w:rFonts w:ascii="Times New Roman" w:hAnsi="Times New Roman" w:eastAsia="Times New Roman"/>
          <w:b w:val="0"/>
          <w:i w:val="0"/>
          <w:sz w:val="22"/>
        </w:rPr>
        <w:t>–</w:t>
      </w:r>
      <w:r>
        <w:rPr>
          <w:rFonts w:ascii="Courier New" w:hAnsi="Courier New" w:eastAsia="Courier New"/>
          <w:b w:val="0"/>
          <w:i w:val="0"/>
          <w:sz w:val="22"/>
        </w:rPr>
        <w:t>down4</w:t>
      </w:r>
      <w:r>
        <w:rPr>
          <w:rFonts w:ascii="Times New Roman" w:hAnsi="Times New Roman" w:eastAsia="Times New Roman"/>
          <w:b w:val="0"/>
          <w:i w:val="0"/>
          <w:sz w:val="22"/>
        </w:rPr>
        <w:t xml:space="preserve">) reaching strides 4/8/16/32, a DAFA top-down/bottom-up neck, and four decoupled </w:t>
      </w:r>
      <w:r>
        <w:rPr>
          <w:rFonts w:ascii="Courier New" w:hAnsi="Courier New" w:eastAsia="Courier New"/>
          <w:b w:val="0"/>
          <w:i w:val="0"/>
          <w:sz w:val="22"/>
        </w:rPr>
        <w:t>DetectHead</w:t>
      </w:r>
      <w:r>
        <w:rPr>
          <w:rFonts w:ascii="Times New Roman" w:hAnsi="Times New Roman" w:eastAsia="Times New Roman"/>
          <w:b w:val="0"/>
          <w:i w:val="0"/>
          <w:sz w:val="22"/>
        </w:rPr>
        <w:t xml:space="preserve"> branches. Each head predicts, per spatial cell, four box offsets (t_x, t_y, t_w, t_h) in stride units and n_c class logits. Anchors are implicit; the predicted center is decoded 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419"/>
        <w:gridCol w:w="4419"/>
      </w:tblGrid>
      <w:tr>
        <w:tc>
          <w:tcPr>
            <w:tcW w:type="dxa" w:w="4419"/>
          </w:tcPr>
          <w:p>
            <w:pPr>
              <w:jc w:val="center"/>
            </w:pPr>
            <w:r>
              <w:drawing>
                <wp:inline xmlns:a="http://schemas.openxmlformats.org/drawingml/2006/main" xmlns:pic="http://schemas.openxmlformats.org/drawingml/2006/picture">
                  <wp:extent cx="4297680" cy="193900"/>
                  <wp:docPr id="1" name="Picture 1"/>
                  <wp:cNvGraphicFramePr>
                    <a:graphicFrameLocks noChangeAspect="1"/>
                  </wp:cNvGraphicFramePr>
                  <a:graphic>
                    <a:graphicData uri="http://schemas.openxmlformats.org/drawingml/2006/picture">
                      <pic:pic>
                        <pic:nvPicPr>
                          <pic:cNvPr id="0" name="eq1.png"/>
                          <pic:cNvPicPr/>
                        </pic:nvPicPr>
                        <pic:blipFill>
                          <a:blip r:embed="rId9"/>
                          <a:stretch>
                            <a:fillRect/>
                          </a:stretch>
                        </pic:blipFill>
                        <pic:spPr>
                          <a:xfrm>
                            <a:off x="0" y="0"/>
                            <a:ext cx="4297680" cy="193900"/>
                          </a:xfrm>
                          <a:prstGeom prst="rect"/>
                        </pic:spPr>
                      </pic:pic>
                    </a:graphicData>
                  </a:graphic>
                </wp:inline>
              </w:drawing>
            </w:r>
          </w:p>
        </w:tc>
        <w:tc>
          <w:tcPr>
            <w:tcW w:type="dxa" w:w="4419"/>
          </w:tcPr>
          <w:p>
            <w:pPr>
              <w:jc w:val="right"/>
            </w:pPr>
            <w:r>
              <w:rPr>
                <w:rFonts w:ascii="Times New Roman" w:hAnsi="Times New Roman" w:eastAsia="Times New Roman"/>
                <w:b w:val="0"/>
                <w:i w:val="0"/>
                <w:sz w:val="22"/>
              </w:rPr>
              <w:t>(1)</w:t>
            </w:r>
          </w:p>
        </w:tc>
      </w:tr>
    </w:tbl>
    <w:p>
      <w:pPr>
        <w:spacing w:after="40"/>
      </w:pPr>
    </w:p>
    <w:p>
      <w:pPr>
        <w:spacing w:after="120" w:line="240" w:lineRule="auto"/>
        <w:jc w:val="both"/>
      </w:pPr>
      <w:r>
        <w:rPr>
          <w:rFonts w:ascii="Times New Roman" w:hAnsi="Times New Roman" w:eastAsia="Times New Roman"/>
          <w:b w:val="0"/>
          <w:i w:val="0"/>
          <w:sz w:val="22"/>
        </w:rPr>
        <w:t>where g_x, g_y are the grid-center pixel coordinates, s the feature-map stride, and σ the logistic sigmoid function. The design specification also prescribes MAE pretraining, cross-dataset generalization, and SoftTeacher semi-supervised training.</w:t>
      </w:r>
    </w:p>
    <w:p>
      <w:pPr>
        <w:spacing w:before="160" w:after="80" w:line="240" w:lineRule="auto"/>
      </w:pPr>
      <w:r>
        <w:rPr>
          <w:rFonts w:ascii="Times New Roman" w:hAnsi="Times New Roman" w:eastAsia="Times New Roman"/>
          <w:b/>
          <w:i w:val="0"/>
          <w:sz w:val="23"/>
        </w:rPr>
        <w:t>2.2 Datasets</w:t>
      </w:r>
    </w:p>
    <w:p>
      <w:pPr>
        <w:spacing w:after="120" w:line="240" w:lineRule="auto"/>
        <w:jc w:val="both"/>
      </w:pPr>
      <w:r>
        <w:rPr>
          <w:rFonts w:ascii="Times New Roman" w:hAnsi="Times New Roman" w:eastAsia="Times New Roman"/>
          <w:b w:val="0"/>
          <w:i w:val="0"/>
          <w:sz w:val="22"/>
        </w:rPr>
        <w:t xml:space="preserve">We use the real </w:t>
      </w:r>
      <w:r>
        <w:rPr>
          <w:rFonts w:ascii="Times New Roman" w:hAnsi="Times New Roman" w:eastAsia="Times New Roman"/>
          <w:b/>
          <w:i w:val="0"/>
          <w:sz w:val="22"/>
        </w:rPr>
        <w:t>VisDrone2019-DET</w:t>
      </w:r>
      <w:r>
        <w:rPr>
          <w:rFonts w:ascii="Times New Roman" w:hAnsi="Times New Roman" w:eastAsia="Times New Roman"/>
          <w:b w:val="0"/>
          <w:i w:val="0"/>
          <w:sz w:val="22"/>
        </w:rPr>
        <w:t xml:space="preserve"> dataset (Du et al. 2019): 6,471 training images / 343,204 boxes and 548 validation images / 38,759 boxes (381,963 boxes total). Annotations use 1-indexed category labels (converted to 0-based model indices via category - 1, giving n_c = 10) and raw absolute-pixel (x, y, w, h) boxes (converted to normalized YOLO format); ignored regions (category 0) and out-of-bounds boxes are excluded. For the cross-domain study we use </w:t>
      </w:r>
      <w:r>
        <w:rPr>
          <w:rFonts w:ascii="Times New Roman" w:hAnsi="Times New Roman" w:eastAsia="Times New Roman"/>
          <w:b/>
          <w:i w:val="0"/>
          <w:sz w:val="22"/>
        </w:rPr>
        <w:t>UAVDT-M</w:t>
      </w:r>
      <w:r>
        <w:rPr>
          <w:rFonts w:ascii="Times New Roman" w:hAnsi="Times New Roman" w:eastAsia="Times New Roman"/>
          <w:b w:val="0"/>
          <w:i w:val="0"/>
          <w:sz w:val="22"/>
        </w:rPr>
        <w:t xml:space="preserve">, derived from the Unmanned Aerial Vehicle Detection and Tracking (UAVDT) benchmark (Du et al. 2018). Its detection ground-truth annotations adopt the official nine-field format (frame_index, target_id, bbox_left, bbox_top, bbox_width, bbox_height, ignore_flag, occlusion, object_category). For the car-only detection file </w:t>
      </w:r>
      <w:r>
        <w:rPr>
          <w:rFonts w:ascii="Courier New" w:hAnsi="Courier New" w:eastAsia="Courier New"/>
          <w:b w:val="0"/>
          <w:i w:val="0"/>
          <w:sz w:val="22"/>
        </w:rPr>
        <w:t>gt.txt</w:t>
      </w:r>
      <w:r>
        <w:rPr>
          <w:rFonts w:ascii="Times New Roman" w:hAnsi="Times New Roman" w:eastAsia="Times New Roman"/>
          <w:b w:val="0"/>
          <w:i w:val="0"/>
          <w:sz w:val="22"/>
        </w:rPr>
        <w:t xml:space="preserve"> the object_category field is a -1 placeholder (the file is already restricted to cars), whereas the seventh field (1-indexed) is the official ignore flag under which rows with ignore_flag = 0 are excluded by the evaluator (evaluateTracking.m: </w:t>
      </w:r>
      <w:r>
        <w:rPr>
          <w:rFonts w:ascii="Courier New" w:hAnsi="Courier New" w:eastAsia="Courier New"/>
          <w:b w:val="0"/>
          <w:i w:val="0"/>
          <w:sz w:val="22"/>
        </w:rPr>
        <w:t>gtdata(gtdata(:,7)==0,:)=[]</w:t>
      </w:r>
      <w:r>
        <w:rPr>
          <w:rFonts w:ascii="Times New Roman" w:hAnsi="Times New Roman" w:eastAsia="Times New Roman"/>
          <w:b w:val="0"/>
          <w:i w:val="0"/>
          <w:sz w:val="22"/>
        </w:rPr>
        <w:t xml:space="preserve">); in the released </w:t>
      </w:r>
      <w:r>
        <w:rPr>
          <w:rFonts w:ascii="Courier New" w:hAnsi="Courier New" w:eastAsia="Courier New"/>
          <w:b w:val="0"/>
          <w:i w:val="0"/>
          <w:sz w:val="22"/>
        </w:rPr>
        <w:t>gt.txt</w:t>
      </w:r>
      <w:r>
        <w:rPr>
          <w:rFonts w:ascii="Times New Roman" w:hAnsi="Times New Roman" w:eastAsia="Times New Roman"/>
          <w:b w:val="0"/>
          <w:i w:val="0"/>
          <w:sz w:val="22"/>
        </w:rPr>
        <w:t xml:space="preserve"> this flag is uniformly 1, so no rows are dropped. We therefore treat every retained box as a car and map it to the source-domain car index, while the full multi-class labels (car/truck/bus) are available in the auxiliary </w:t>
      </w:r>
      <w:r>
        <w:rPr>
          <w:rFonts w:ascii="Courier New" w:hAnsi="Courier New" w:eastAsia="Courier New"/>
          <w:b w:val="0"/>
          <w:i w:val="0"/>
          <w:sz w:val="22"/>
        </w:rPr>
        <w:t>gt_whole.txt</w:t>
      </w:r>
      <w:r>
        <w:rPr>
          <w:rFonts w:ascii="Times New Roman" w:hAnsi="Times New Roman" w:eastAsia="Times New Roman"/>
          <w:b w:val="0"/>
          <w:i w:val="0"/>
          <w:sz w:val="22"/>
        </w:rPr>
        <w:t xml:space="preserve"> (object_category ∈ {1, 2, 3}). The official </w:t>
      </w:r>
      <w:r>
        <w:rPr>
          <w:rFonts w:ascii="Courier New" w:hAnsi="Courier New" w:eastAsia="Courier New"/>
          <w:b w:val="0"/>
          <w:i w:val="0"/>
          <w:sz w:val="22"/>
        </w:rPr>
        <w:t>gt.txt</w:t>
      </w:r>
      <w:r>
        <w:rPr>
          <w:rFonts w:ascii="Times New Roman" w:hAnsi="Times New Roman" w:eastAsia="Times New Roman"/>
          <w:b w:val="0"/>
          <w:i w:val="0"/>
          <w:sz w:val="22"/>
        </w:rPr>
        <w:t xml:space="preserve"> provides 763,817 car boxes across 50 sequences (truck and bus appear only in </w:t>
      </w:r>
      <w:r>
        <w:rPr>
          <w:rFonts w:ascii="Courier New" w:hAnsi="Courier New" w:eastAsia="Courier New"/>
          <w:b w:val="0"/>
          <w:i w:val="0"/>
          <w:sz w:val="22"/>
        </w:rPr>
        <w:t>gt_whole.txt</w:t>
      </w:r>
      <w:r>
        <w:rPr>
          <w:rFonts w:ascii="Times New Roman" w:hAnsi="Times New Roman" w:eastAsia="Times New Roman"/>
          <w:b w:val="0"/>
          <w:i w:val="0"/>
          <w:sz w:val="22"/>
        </w:rPr>
        <w:t>). We sample every 30 frames across all sequences, yielding 1,360 valid test images with 25,763 car ground-truth boxes, converted to YOLO format. All diagnostic subsets are deterministic: the in-domain diagnostic uses the first 120 validation images and the zero-shot diagnostic the first 300 of the frame-sampled UAVDT-M list (no random sampling is involved).</w:t>
      </w:r>
    </w:p>
    <w:p>
      <w:pPr>
        <w:spacing w:before="160" w:after="80" w:line="240" w:lineRule="auto"/>
      </w:pPr>
      <w:r>
        <w:rPr>
          <w:rFonts w:ascii="Times New Roman" w:hAnsi="Times New Roman" w:eastAsia="Times New Roman"/>
          <w:b/>
          <w:i w:val="0"/>
          <w:sz w:val="23"/>
        </w:rPr>
        <w:t>2.3 Environment and reduced training configuration</w:t>
      </w:r>
    </w:p>
    <w:p>
      <w:pPr>
        <w:spacing w:after="120" w:line="240" w:lineRule="auto"/>
        <w:jc w:val="both"/>
      </w:pPr>
      <w:r>
        <w:rPr>
          <w:rFonts w:ascii="Times New Roman" w:hAnsi="Times New Roman" w:eastAsia="Times New Roman"/>
          <w:b w:val="0"/>
          <w:i w:val="0"/>
          <w:sz w:val="22"/>
        </w:rPr>
        <w:t>Validation runs on a CPU-only machine. Because a full-dataset training run (6 471 images at practical aerial-detection resolutions and schedules) is far beyond CPU feasibility, we adopt a representative reduced-size configuration: image size 320 px, batch size 4, the first 250 images of the sorted training list (fixed for reproducibility), 40 epochs, AdamW (lr 1e-3) with cosine schedule and 3-epoch warmup. The baseline uses the original assignment—each ground-truth object is placed on a single pyramid level selected by its size and only its center cell is marked positive (≈1 positive per object)—with sigmoid BCE classification and CIoU box regression; the remediation replaces these with TaskAlignedAssigner (TAA; Feng et al. 2021; top-k = 10, alignment metric m = σ(c)</w:t>
      </w:r>
      <w:r>
        <w:rPr>
          <w:rFonts w:ascii="Times New Roman" w:hAnsi="Times New Roman" w:eastAsia="Times New Roman"/>
          <w:b w:val="0"/>
          <w:i w:val="0"/>
          <w:sz w:val="22"/>
          <w:vertAlign w:val="superscript"/>
        </w:rPr>
        <w:t>α</w:t>
      </w:r>
      <w:r>
        <w:rPr>
          <w:rFonts w:ascii="Times New Roman" w:hAnsi="Times New Roman" w:eastAsia="Times New Roman"/>
          <w:b w:val="0"/>
          <w:i w:val="0"/>
          <w:sz w:val="22"/>
        </w:rPr>
        <w:t xml:space="preserve"> · IoU</w:t>
      </w:r>
      <w:r>
        <w:rPr>
          <w:rFonts w:ascii="Times New Roman" w:hAnsi="Times New Roman" w:eastAsia="Times New Roman"/>
          <w:b w:val="0"/>
          <w:i w:val="0"/>
          <w:sz w:val="22"/>
          <w:vertAlign w:val="superscript"/>
        </w:rPr>
        <w:t>β</w:t>
      </w:r>
      <w:r>
        <w:rPr>
          <w:rFonts w:ascii="Times New Roman" w:hAnsi="Times New Roman" w:eastAsia="Times New Roman"/>
          <w:b w:val="0"/>
          <w:i w:val="0"/>
          <w:sz w:val="22"/>
        </w:rPr>
        <w:t xml:space="preserve"> defined in Equation (2), where σ(c) is the classification score and IoU (intersection over union) the localization quality of the matched anchor; TOOD originally sets α = 1.0; we adopt α = 0.5 to dampen noisy classification scores under limited data, placing relatively greater emphasis on localization quality), VariFocal Loss (VFL; Zhang et al. 2021; Equation (3)), and WIoU v1 (Tong et al. 2023; Equation (4)):</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419"/>
        <w:gridCol w:w="4419"/>
      </w:tblGrid>
      <w:tr>
        <w:tc>
          <w:tcPr>
            <w:tcW w:type="dxa" w:w="4419"/>
          </w:tcPr>
          <w:p>
            <w:pPr>
              <w:jc w:val="center"/>
            </w:pPr>
            <w:r>
              <w:drawing>
                <wp:inline xmlns:a="http://schemas.openxmlformats.org/drawingml/2006/main" xmlns:pic="http://schemas.openxmlformats.org/drawingml/2006/picture">
                  <wp:extent cx="1691640" cy="329184"/>
                  <wp:docPr id="2" name="Picture 2"/>
                  <wp:cNvGraphicFramePr>
                    <a:graphicFrameLocks noChangeAspect="1"/>
                  </wp:cNvGraphicFramePr>
                  <a:graphic>
                    <a:graphicData uri="http://schemas.openxmlformats.org/drawingml/2006/picture">
                      <pic:pic>
                        <pic:nvPicPr>
                          <pic:cNvPr id="0" name="eq2.png"/>
                          <pic:cNvPicPr/>
                        </pic:nvPicPr>
                        <pic:blipFill>
                          <a:blip r:embed="rId10"/>
                          <a:stretch>
                            <a:fillRect/>
                          </a:stretch>
                        </pic:blipFill>
                        <pic:spPr>
                          <a:xfrm>
                            <a:off x="0" y="0"/>
                            <a:ext cx="1691640" cy="329184"/>
                          </a:xfrm>
                          <a:prstGeom prst="rect"/>
                        </pic:spPr>
                      </pic:pic>
                    </a:graphicData>
                  </a:graphic>
                </wp:inline>
              </w:drawing>
            </w:r>
          </w:p>
        </w:tc>
        <w:tc>
          <w:tcPr>
            <w:tcW w:type="dxa" w:w="4419"/>
          </w:tcPr>
          <w:p>
            <w:pPr>
              <w:jc w:val="right"/>
            </w:pPr>
            <w:r>
              <w:rPr>
                <w:rFonts w:ascii="Times New Roman" w:hAnsi="Times New Roman" w:eastAsia="Times New Roman"/>
                <w:b w:val="0"/>
                <w:i w:val="0"/>
                <w:sz w:val="22"/>
              </w:rPr>
              <w:t>(2)</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419"/>
        <w:gridCol w:w="4419"/>
      </w:tblGrid>
      <w:tr>
        <w:tc>
          <w:tcPr>
            <w:tcW w:type="dxa" w:w="4419"/>
          </w:tcPr>
          <w:p>
            <w:pPr>
              <w:jc w:val="center"/>
            </w:pPr>
            <w:r>
              <w:drawing>
                <wp:inline xmlns:a="http://schemas.openxmlformats.org/drawingml/2006/main" xmlns:pic="http://schemas.openxmlformats.org/drawingml/2006/picture">
                  <wp:extent cx="4297680" cy="213733"/>
                  <wp:docPr id="3" name="Picture 3"/>
                  <wp:cNvGraphicFramePr>
                    <a:graphicFrameLocks noChangeAspect="1"/>
                  </wp:cNvGraphicFramePr>
                  <a:graphic>
                    <a:graphicData uri="http://schemas.openxmlformats.org/drawingml/2006/picture">
                      <pic:pic>
                        <pic:nvPicPr>
                          <pic:cNvPr id="0" name="eq3.png"/>
                          <pic:cNvPicPr/>
                        </pic:nvPicPr>
                        <pic:blipFill>
                          <a:blip r:embed="rId11"/>
                          <a:stretch>
                            <a:fillRect/>
                          </a:stretch>
                        </pic:blipFill>
                        <pic:spPr>
                          <a:xfrm>
                            <a:off x="0" y="0"/>
                            <a:ext cx="4297680" cy="213733"/>
                          </a:xfrm>
                          <a:prstGeom prst="rect"/>
                        </pic:spPr>
                      </pic:pic>
                    </a:graphicData>
                  </a:graphic>
                </wp:inline>
              </w:drawing>
            </w:r>
          </w:p>
        </w:tc>
        <w:tc>
          <w:tcPr>
            <w:tcW w:type="dxa" w:w="4419"/>
          </w:tcPr>
          <w:p>
            <w:pPr>
              <w:jc w:val="right"/>
            </w:pPr>
            <w:r>
              <w:rPr>
                <w:rFonts w:ascii="Times New Roman" w:hAnsi="Times New Roman" w:eastAsia="Times New Roman"/>
                <w:b w:val="0"/>
                <w:i w:val="0"/>
                <w:sz w:val="22"/>
              </w:rPr>
              <w:t>(3)</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419"/>
        <w:gridCol w:w="4419"/>
      </w:tblGrid>
      <w:tr>
        <w:tc>
          <w:tcPr>
            <w:tcW w:type="dxa" w:w="4419"/>
          </w:tcPr>
          <w:p>
            <w:pPr>
              <w:jc w:val="center"/>
            </w:pPr>
            <w:r>
              <w:drawing>
                <wp:inline xmlns:a="http://schemas.openxmlformats.org/drawingml/2006/main" xmlns:pic="http://schemas.openxmlformats.org/drawingml/2006/picture">
                  <wp:extent cx="3721608" cy="685800"/>
                  <wp:docPr id="4" name="Picture 4"/>
                  <wp:cNvGraphicFramePr>
                    <a:graphicFrameLocks noChangeAspect="1"/>
                  </wp:cNvGraphicFramePr>
                  <a:graphic>
                    <a:graphicData uri="http://schemas.openxmlformats.org/drawingml/2006/picture">
                      <pic:pic>
                        <pic:nvPicPr>
                          <pic:cNvPr id="0" name="eq4.png"/>
                          <pic:cNvPicPr/>
                        </pic:nvPicPr>
                        <pic:blipFill>
                          <a:blip r:embed="rId12"/>
                          <a:stretch>
                            <a:fillRect/>
                          </a:stretch>
                        </pic:blipFill>
                        <pic:spPr>
                          <a:xfrm>
                            <a:off x="0" y="0"/>
                            <a:ext cx="3721608" cy="685800"/>
                          </a:xfrm>
                          <a:prstGeom prst="rect"/>
                        </pic:spPr>
                      </pic:pic>
                    </a:graphicData>
                  </a:graphic>
                </wp:inline>
              </w:drawing>
            </w:r>
          </w:p>
        </w:tc>
        <w:tc>
          <w:tcPr>
            <w:tcW w:type="dxa" w:w="4419"/>
          </w:tcPr>
          <w:p>
            <w:pPr>
              <w:jc w:val="right"/>
            </w:pPr>
            <w:r>
              <w:rPr>
                <w:rFonts w:ascii="Times New Roman" w:hAnsi="Times New Roman" w:eastAsia="Times New Roman"/>
                <w:b w:val="0"/>
                <w:i w:val="0"/>
                <w:sz w:val="22"/>
              </w:rPr>
              <w:t>(4)</w:t>
            </w:r>
          </w:p>
        </w:tc>
      </w:tr>
    </w:tbl>
    <w:p>
      <w:pPr>
        <w:spacing w:after="40"/>
      </w:pPr>
    </w:p>
    <w:p>
      <w:pPr>
        <w:spacing w:after="120" w:line="240" w:lineRule="auto"/>
        <w:jc w:val="both"/>
      </w:pPr>
      <w:r>
        <w:rPr>
          <w:rFonts w:ascii="Times New Roman" w:hAnsi="Times New Roman" w:eastAsia="Times New Roman"/>
          <w:b w:val="0"/>
          <w:i w:val="0"/>
          <w:sz w:val="22"/>
        </w:rPr>
        <w:t>where in Equation (3) the first term applies to positive anchors with soft target q = IoU, the second term to negatives down-weighted by p</w:t>
      </w:r>
      <w:r>
        <w:rPr>
          <w:rFonts w:ascii="Times New Roman" w:hAnsi="Times New Roman" w:eastAsia="Times New Roman"/>
          <w:b w:val="0"/>
          <w:i w:val="0"/>
          <w:sz w:val="22"/>
          <w:vertAlign w:val="superscript"/>
        </w:rPr>
        <w:t>γ</w:t>
      </w:r>
      <w:r>
        <w:rPr>
          <w:rFonts w:ascii="Times New Roman" w:hAnsi="Times New Roman" w:eastAsia="Times New Roman"/>
          <w:b w:val="0"/>
          <w:i w:val="0"/>
          <w:sz w:val="22"/>
        </w:rPr>
        <w:t xml:space="preserve"> (γ = 2), and α_v = 0.75 is a global weight; this matches the original VarifocalNet formulation. In Equation (4), (Δx, Δy) is the center distance between prediction and ground truth, (W_g, H_g) the smallest enclosing-box dimensions, and γ = 2.</w:t>
      </w:r>
    </w:p>
    <w:p>
      <w:pPr>
        <w:spacing w:before="160" w:after="80" w:line="240" w:lineRule="auto"/>
      </w:pPr>
      <w:r>
        <w:rPr>
          <w:rFonts w:ascii="Times New Roman" w:hAnsi="Times New Roman" w:eastAsia="Times New Roman"/>
          <w:b/>
          <w:i w:val="0"/>
          <w:sz w:val="23"/>
        </w:rPr>
        <w:t>2.4 Metrics</w:t>
      </w:r>
    </w:p>
    <w:p>
      <w:pPr>
        <w:spacing w:after="120" w:line="240" w:lineRule="auto"/>
        <w:jc w:val="both"/>
      </w:pPr>
      <w:r>
        <w:rPr>
          <w:rFonts w:ascii="Times New Roman" w:hAnsi="Times New Roman" w:eastAsia="Times New Roman"/>
          <w:b w:val="0"/>
          <w:i w:val="0"/>
          <w:sz w:val="22"/>
        </w:rPr>
        <w:t>We report COCO-style average precision (AP; averaged over classes, denoted mAP; Lin et al. 2014) at IoU 0.25, 0.50, and 0.50:0.95 (101-point interpolation) plus per-class AP@0.50. A low-confidence diagnostic probe (conf = 0.001, applied after class-aware NMS at IoU 0.7 with top-300 retention, i.e. at most 300 detections per image) retains essentially all detections to measure the best per-image IoU between any prediction and any ground-truth box.</w:t>
      </w:r>
    </w:p>
    <w:p>
      <w:pPr>
        <w:spacing w:before="160" w:after="80" w:line="240" w:lineRule="auto"/>
      </w:pPr>
      <w:r>
        <w:rPr>
          <w:rFonts w:ascii="Times New Roman" w:hAnsi="Times New Roman" w:eastAsia="Times New Roman"/>
          <w:b/>
          <w:i w:val="0"/>
          <w:sz w:val="23"/>
        </w:rPr>
        <w:t>2.5 Implementation corrections</w:t>
      </w:r>
    </w:p>
    <w:p>
      <w:pPr>
        <w:spacing w:after="120" w:line="240" w:lineRule="auto"/>
        <w:jc w:val="both"/>
      </w:pPr>
      <w:r>
        <w:rPr>
          <w:rFonts w:ascii="Times New Roman" w:hAnsi="Times New Roman" w:eastAsia="Times New Roman"/>
          <w:b w:val="0"/>
          <w:i w:val="0"/>
          <w:sz w:val="22"/>
        </w:rPr>
        <w:t>Real-data execution—not static inspection—revealed four defects, the most severe being a double-stride decode error: the erroneous form p_x^* = (g_x + offset)·s applies the stride twice—g_x is already a pixel coordinate, so only the offset should be scaled (p_x = g_x + offset·s)—projecting every predicted box out of image bounds and silently producing mAP = 0. The other three defects are a variable-length collate crash in the DataLoader, incorrect unpacking of the four-tuple returned by the letterbox resize, and an empty class-map filter that silently cleared all predictions; the complete defect list with symptoms and fixes is provided as Table S1 in the Supplementary Material. All defects were corrected identically across training, loss, and inference.</w:t>
      </w:r>
    </w:p>
    <w:p>
      <w:pPr>
        <w:spacing w:before="240" w:after="100" w:line="240" w:lineRule="auto"/>
      </w:pPr>
      <w:r>
        <w:rPr>
          <w:rFonts w:ascii="Times New Roman" w:hAnsi="Times New Roman" w:eastAsia="Times New Roman"/>
          <w:b/>
          <w:i w:val="0"/>
          <w:sz w:val="26"/>
        </w:rPr>
        <w:t>3. Results</w:t>
      </w:r>
    </w:p>
    <w:p>
      <w:pPr>
        <w:spacing w:before="160" w:after="80" w:line="240" w:lineRule="auto"/>
      </w:pPr>
      <w:r>
        <w:rPr>
          <w:rFonts w:ascii="Times New Roman" w:hAnsi="Times New Roman" w:eastAsia="Times New Roman"/>
          <w:b/>
          <w:i w:val="0"/>
          <w:sz w:val="23"/>
        </w:rPr>
        <w:t>3.1 Pipeline verification and training</w:t>
      </w:r>
    </w:p>
    <w:p>
      <w:pPr>
        <w:spacing w:after="120" w:line="240" w:lineRule="auto"/>
        <w:jc w:val="both"/>
      </w:pPr>
      <w:r>
        <w:rPr>
          <w:rFonts w:ascii="Times New Roman" w:hAnsi="Times New Roman" w:eastAsia="Times New Roman"/>
          <w:b w:val="0"/>
          <w:i w:val="0"/>
          <w:sz w:val="22"/>
        </w:rPr>
        <w:t xml:space="preserve">The data converter and loaders were exercised on real data; a one-step smoke test confirmed finite forward/loss/backward and in-bounds decoded boxes. A standalone MAE run reduced reconstruction loss from 0.7668 to 0.4722 over 5 epochs, exporting 302 backbone keys (prefixes </w:t>
      </w:r>
      <w:r>
        <w:rPr>
          <w:rFonts w:ascii="Courier New" w:hAnsi="Courier New" w:eastAsia="Courier New"/>
          <w:b w:val="0"/>
          <w:i w:val="0"/>
          <w:sz w:val="22"/>
        </w:rPr>
        <w:t>stem/down/stage</w:t>
      </w:r>
      <w:r>
        <w:rPr>
          <w:rFonts w:ascii="Times New Roman" w:hAnsi="Times New Roman" w:eastAsia="Times New Roman"/>
          <w:b w:val="0"/>
          <w:i w:val="0"/>
          <w:sz w:val="22"/>
        </w:rPr>
        <w:t>), confirming the backbone export path. We note that this MAE reconstruction experiment is a sanity check for backbone weights, not full downstream detection training. A short 15-epoch supervised run of the corrected model reduced average loss from 15.69 to 13.49; this run served as an integration smoke test only and is not used for any accuracy table—Tables 2 and 3 report the 40-epoch checkpoints described in §3.2. The checkpoint loads with 0 missing / 0 unexpected keys.</w:t>
      </w:r>
    </w:p>
    <w:p>
      <w:pPr>
        <w:spacing w:before="160" w:after="80" w:line="240" w:lineRule="auto"/>
      </w:pPr>
      <w:r>
        <w:rPr>
          <w:rFonts w:ascii="Times New Roman" w:hAnsi="Times New Roman" w:eastAsia="Times New Roman"/>
          <w:b/>
          <w:i w:val="0"/>
          <w:sz w:val="23"/>
        </w:rPr>
        <w:t>3.2 Honest detection performance and the localization–classification decomposition</w:t>
      </w:r>
    </w:p>
    <w:p>
      <w:pPr>
        <w:spacing w:after="120" w:line="240" w:lineRule="auto"/>
        <w:jc w:val="both"/>
      </w:pPr>
      <w:r>
        <w:rPr>
          <w:rFonts w:ascii="Times New Roman" w:hAnsi="Times New Roman" w:eastAsia="Times New Roman"/>
          <w:b w:val="0"/>
          <w:i w:val="0"/>
          <w:sz w:val="22"/>
        </w:rPr>
        <w:t>Running the corrected checkpoint on the full 548-image validation set yields per-class AP@0.50 = AP@0.25 = 0.0000 (Table 2). A diagnostic probe shows the network still emits 300 detections/image (max score 0.95) with weak localization (mean best-IoU 0.24, max 0.78), isolating a degenerate classification rather than a silent decode failure.</w:t>
      </w:r>
    </w:p>
    <w:tbl>
      <w:tblPr>
        <w:tblStyle w:val="TableGrid"/>
        <w:tblW w:type="auto" w:w="0"/>
        <w:jc w:val="center"/>
        <w:tblLook w:firstColumn="1" w:firstRow="1" w:lastColumn="0" w:lastRow="0" w:noHBand="0" w:noVBand="1" w:val="04A0"/>
      </w:tblPr>
      <w:tblGrid>
        <w:gridCol w:w="4419"/>
        <w:gridCol w:w="4419"/>
      </w:tblGrid>
      <w:tr>
        <w:tc>
          <w:tcPr>
            <w:tcW w:type="dxa" w:w="4419"/>
            <w:shd w:val="clear" w:fill="E8EEF5"/>
          </w:tcPr>
          <w:p>
            <w:pPr>
              <w:spacing w:after="0"/>
            </w:pPr>
            <w:r>
              <w:rPr>
                <w:rFonts w:ascii="Times New Roman" w:hAnsi="Times New Roman" w:eastAsia="Times New Roman"/>
                <w:b/>
                <w:i w:val="0"/>
                <w:sz w:val="18"/>
              </w:rPr>
              <w:t>Metric (full validation, conf = 0.05)</w:t>
            </w:r>
          </w:p>
        </w:tc>
        <w:tc>
          <w:tcPr>
            <w:tcW w:type="dxa" w:w="4419"/>
            <w:shd w:val="clear" w:fill="E8EEF5"/>
          </w:tcPr>
          <w:p>
            <w:pPr>
              <w:spacing w:after="0"/>
            </w:pPr>
            <w:r>
              <w:rPr>
                <w:rFonts w:ascii="Times New Roman" w:hAnsi="Times New Roman" w:eastAsia="Times New Roman"/>
                <w:b/>
                <w:i w:val="0"/>
                <w:sz w:val="18"/>
              </w:rPr>
              <w:t>Value</w:t>
            </w:r>
          </w:p>
        </w:tc>
      </w:tr>
      <w:tr>
        <w:tc>
          <w:tcPr>
            <w:tcW w:type="dxa" w:w="4419"/>
          </w:tcPr>
          <w:p>
            <w:pPr>
              <w:spacing w:after="0"/>
            </w:pPr>
            <w:r>
              <w:rPr>
                <w:rFonts w:ascii="Times New Roman" w:hAnsi="Times New Roman" w:eastAsia="Times New Roman"/>
                <w:b w:val="0"/>
                <w:i w:val="0"/>
                <w:sz w:val="18"/>
              </w:rPr>
              <w:t>mAP@0.25</w:t>
            </w:r>
          </w:p>
        </w:tc>
        <w:tc>
          <w:tcPr>
            <w:tcW w:type="dxa" w:w="4419"/>
          </w:tcPr>
          <w:p>
            <w:pPr>
              <w:spacing w:after="0"/>
            </w:pPr>
            <w:r>
              <w:rPr>
                <w:rFonts w:ascii="Times New Roman" w:hAnsi="Times New Roman" w:eastAsia="Times New Roman"/>
                <w:b w:val="0"/>
                <w:i w:val="0"/>
                <w:sz w:val="18"/>
              </w:rPr>
              <w:t>0.0000</w:t>
            </w:r>
          </w:p>
        </w:tc>
      </w:tr>
      <w:tr>
        <w:tc>
          <w:tcPr>
            <w:tcW w:type="dxa" w:w="4419"/>
          </w:tcPr>
          <w:p>
            <w:pPr>
              <w:spacing w:after="0"/>
            </w:pPr>
            <w:r>
              <w:rPr>
                <w:rFonts w:ascii="Times New Roman" w:hAnsi="Times New Roman" w:eastAsia="Times New Roman"/>
                <w:b w:val="0"/>
                <w:i w:val="0"/>
                <w:sz w:val="18"/>
              </w:rPr>
              <w:t>mAP@0.50</w:t>
            </w:r>
          </w:p>
        </w:tc>
        <w:tc>
          <w:tcPr>
            <w:tcW w:type="dxa" w:w="4419"/>
          </w:tcPr>
          <w:p>
            <w:pPr>
              <w:spacing w:after="0"/>
            </w:pPr>
            <w:r>
              <w:rPr>
                <w:rFonts w:ascii="Times New Roman" w:hAnsi="Times New Roman" w:eastAsia="Times New Roman"/>
                <w:b w:val="0"/>
                <w:i w:val="0"/>
                <w:sz w:val="18"/>
              </w:rPr>
              <w:t>0.0000</w:t>
            </w:r>
          </w:p>
        </w:tc>
      </w:tr>
      <w:tr>
        <w:tc>
          <w:tcPr>
            <w:tcW w:type="dxa" w:w="4419"/>
          </w:tcPr>
          <w:p>
            <w:pPr>
              <w:spacing w:after="0"/>
            </w:pPr>
            <w:r>
              <w:rPr>
                <w:rFonts w:ascii="Times New Roman" w:hAnsi="Times New Roman" w:eastAsia="Times New Roman"/>
                <w:b w:val="0"/>
                <w:i w:val="0"/>
                <w:sz w:val="18"/>
              </w:rPr>
              <w:t>mAP@0.50:0.95</w:t>
            </w:r>
          </w:p>
        </w:tc>
        <w:tc>
          <w:tcPr>
            <w:tcW w:type="dxa" w:w="4419"/>
          </w:tcPr>
          <w:p>
            <w:pPr>
              <w:spacing w:after="0"/>
            </w:pPr>
            <w:r>
              <w:rPr>
                <w:rFonts w:ascii="Times New Roman" w:hAnsi="Times New Roman" w:eastAsia="Times New Roman"/>
                <w:b w:val="0"/>
                <w:i w:val="0"/>
                <w:sz w:val="18"/>
              </w:rPr>
              <w:t>0.0000</w:t>
            </w:r>
          </w:p>
        </w:tc>
      </w:tr>
      <w:tr>
        <w:tc>
          <w:tcPr>
            <w:tcW w:type="dxa" w:w="4419"/>
          </w:tcPr>
          <w:p>
            <w:pPr>
              <w:spacing w:after="0"/>
            </w:pPr>
            <w:r>
              <w:rPr>
                <w:rFonts w:ascii="Times New Roman" w:hAnsi="Times New Roman" w:eastAsia="Times New Roman"/>
                <w:b w:val="0"/>
                <w:i w:val="0"/>
                <w:sz w:val="18"/>
              </w:rPr>
              <w:t>Per-class AP@0.50 (all 10 classes)</w:t>
            </w:r>
          </w:p>
        </w:tc>
        <w:tc>
          <w:tcPr>
            <w:tcW w:type="dxa" w:w="4419"/>
          </w:tcPr>
          <w:p>
            <w:pPr>
              <w:spacing w:after="0"/>
            </w:pPr>
            <w:r>
              <w:rPr>
                <w:rFonts w:ascii="Times New Roman" w:hAnsi="Times New Roman" w:eastAsia="Times New Roman"/>
                <w:b w:val="0"/>
                <w:i w:val="0"/>
                <w:sz w:val="18"/>
              </w:rPr>
              <w:t>0.0000</w:t>
            </w:r>
          </w:p>
        </w:tc>
      </w:tr>
    </w:tbl>
    <w:p>
      <w:pPr>
        <w:spacing w:after="40"/>
      </w:pPr>
    </w:p>
    <w:p>
      <w:pPr>
        <w:spacing w:after="160" w:line="240" w:lineRule="auto"/>
        <w:jc w:val="center"/>
      </w:pPr>
      <w:r>
        <w:rPr>
          <w:rFonts w:ascii="Times New Roman" w:hAnsi="Times New Roman" w:eastAsia="Times New Roman"/>
          <w:b w:val="0"/>
          <w:i/>
          <w:sz w:val="18"/>
        </w:rPr>
        <w:t>Table 2. Validation performance (full 548-image set) of the corrected 40-epoch baseline—original single-center assignment, BCE, CIoU—before remediation, under the reduced recipe.</w:t>
      </w:r>
    </w:p>
    <w:p>
      <w:pPr>
        <w:spacing w:after="120" w:line="240" w:lineRule="auto"/>
        <w:jc w:val="both"/>
      </w:pPr>
      <w:r>
        <w:rPr>
          <w:rFonts w:ascii="Times New Roman" w:hAnsi="Times New Roman" w:eastAsia="Times New Roman"/>
          <w:b w:val="0"/>
          <w:i w:val="0"/>
          <w:sz w:val="22"/>
        </w:rPr>
        <w:t>Implementing the prescribed remediation (TaskAlignedAssigner + VariFocal Loss + WIoU) lowered training loss from 29.30 to 5.89 and sharply improved localization while leaving classification unchanged (Table 3). The decomposition is the central finding: localization is resolved (mean best-IoU 0.24 → 0.40; 95/120 images with ≥0.25 overlap vs. 52/120) but classification remains open (per-class AP still 0.0000 even with every emitted detection retained at the diagnostic threshold, where the maximum predicted score is only 0.33). VariFocal Loss also removed pathological over-confidence (the maximum predicted score decreases from 0.95 to 0.33). We emphasize that the best per-image IoU diagnostic is class-agnostic—the maximum overlap between any predicted and any ground-truth box—so its improvement reflects localization only; because predicted classes remain wrong, per-class AP stays at 0.</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fill="E8EEF5"/>
          </w:tcPr>
          <w:p>
            <w:pPr>
              <w:spacing w:after="0"/>
            </w:pPr>
            <w:r>
              <w:rPr>
                <w:rFonts w:ascii="Times New Roman" w:hAnsi="Times New Roman" w:eastAsia="Times New Roman"/>
                <w:b/>
                <w:i w:val="0"/>
                <w:sz w:val="18"/>
              </w:rPr>
              <w:t>Diagnostic quantity (conf = 0.001)</w:t>
            </w:r>
          </w:p>
        </w:tc>
        <w:tc>
          <w:tcPr>
            <w:tcW w:type="dxa" w:w="2946"/>
            <w:shd w:val="clear" w:fill="E8EEF5"/>
          </w:tcPr>
          <w:p>
            <w:pPr>
              <w:spacing w:after="0"/>
            </w:pPr>
            <w:r>
              <w:rPr>
                <w:rFonts w:ascii="Times New Roman" w:hAnsi="Times New Roman" w:eastAsia="Times New Roman"/>
                <w:b/>
                <w:i w:val="0"/>
                <w:sz w:val="18"/>
              </w:rPr>
              <w:t>Baseline</w:t>
            </w:r>
          </w:p>
        </w:tc>
        <w:tc>
          <w:tcPr>
            <w:tcW w:type="dxa" w:w="2946"/>
            <w:shd w:val="clear" w:fill="E8EEF5"/>
          </w:tcPr>
          <w:p>
            <w:pPr>
              <w:spacing w:after="0"/>
            </w:pPr>
            <w:r>
              <w:rPr>
                <w:rFonts w:ascii="Times New Roman" w:hAnsi="Times New Roman" w:eastAsia="Times New Roman"/>
                <w:b/>
                <w:i w:val="0"/>
                <w:sz w:val="18"/>
              </w:rPr>
              <w:t>Remediation</w:t>
            </w:r>
          </w:p>
        </w:tc>
      </w:tr>
      <w:tr>
        <w:tc>
          <w:tcPr>
            <w:tcW w:type="dxa" w:w="2946"/>
          </w:tcPr>
          <w:p>
            <w:pPr>
              <w:spacing w:after="0"/>
            </w:pPr>
            <w:r>
              <w:rPr>
                <w:rFonts w:ascii="Times New Roman" w:hAnsi="Times New Roman" w:eastAsia="Times New Roman"/>
                <w:b w:val="0"/>
                <w:i w:val="0"/>
                <w:sz w:val="18"/>
              </w:rPr>
              <w:t>Mean best per-image IoU vs. GT</w:t>
            </w:r>
          </w:p>
        </w:tc>
        <w:tc>
          <w:tcPr>
            <w:tcW w:type="dxa" w:w="2946"/>
          </w:tcPr>
          <w:p>
            <w:pPr>
              <w:spacing w:after="0"/>
            </w:pPr>
            <w:r>
              <w:rPr>
                <w:rFonts w:ascii="Times New Roman" w:hAnsi="Times New Roman" w:eastAsia="Times New Roman"/>
                <w:b w:val="0"/>
                <w:i w:val="0"/>
                <w:sz w:val="18"/>
              </w:rPr>
              <w:t>0.24</w:t>
            </w:r>
          </w:p>
        </w:tc>
        <w:tc>
          <w:tcPr>
            <w:tcW w:type="dxa" w:w="2946"/>
          </w:tcPr>
          <w:p>
            <w:pPr>
              <w:spacing w:after="0"/>
            </w:pPr>
            <w:r>
              <w:rPr>
                <w:rFonts w:ascii="Times New Roman" w:hAnsi="Times New Roman" w:eastAsia="Times New Roman"/>
                <w:b w:val="0"/>
                <w:i w:val="0"/>
                <w:sz w:val="18"/>
              </w:rPr>
              <w:t>0.40</w:t>
            </w:r>
          </w:p>
        </w:tc>
      </w:tr>
      <w:tr>
        <w:tc>
          <w:tcPr>
            <w:tcW w:type="dxa" w:w="2946"/>
          </w:tcPr>
          <w:p>
            <w:pPr>
              <w:spacing w:after="0"/>
            </w:pPr>
            <w:r>
              <w:rPr>
                <w:rFonts w:ascii="Times New Roman" w:hAnsi="Times New Roman" w:eastAsia="Times New Roman"/>
                <w:b w:val="0"/>
                <w:i w:val="0"/>
                <w:sz w:val="18"/>
              </w:rPr>
              <w:t>Images with ≥0.25 overlap</w:t>
            </w:r>
          </w:p>
        </w:tc>
        <w:tc>
          <w:tcPr>
            <w:tcW w:type="dxa" w:w="2946"/>
          </w:tcPr>
          <w:p>
            <w:pPr>
              <w:spacing w:after="0"/>
            </w:pPr>
            <w:r>
              <w:rPr>
                <w:rFonts w:ascii="Times New Roman" w:hAnsi="Times New Roman" w:eastAsia="Times New Roman"/>
                <w:b w:val="0"/>
                <w:i w:val="0"/>
                <w:sz w:val="18"/>
              </w:rPr>
              <w:t>52/120</w:t>
            </w:r>
          </w:p>
        </w:tc>
        <w:tc>
          <w:tcPr>
            <w:tcW w:type="dxa" w:w="2946"/>
          </w:tcPr>
          <w:p>
            <w:pPr>
              <w:spacing w:after="0"/>
            </w:pPr>
            <w:r>
              <w:rPr>
                <w:rFonts w:ascii="Times New Roman" w:hAnsi="Times New Roman" w:eastAsia="Times New Roman"/>
                <w:b w:val="0"/>
                <w:i w:val="0"/>
                <w:sz w:val="18"/>
              </w:rPr>
              <w:t>95/120</w:t>
            </w:r>
          </w:p>
        </w:tc>
      </w:tr>
      <w:tr>
        <w:tc>
          <w:tcPr>
            <w:tcW w:type="dxa" w:w="2946"/>
          </w:tcPr>
          <w:p>
            <w:pPr>
              <w:spacing w:after="0"/>
            </w:pPr>
            <w:r>
              <w:rPr>
                <w:rFonts w:ascii="Times New Roman" w:hAnsi="Times New Roman" w:eastAsia="Times New Roman"/>
                <w:b w:val="0"/>
                <w:i w:val="0"/>
                <w:sz w:val="18"/>
              </w:rPr>
              <w:t>Images with ≥0.50 overlap</w:t>
            </w:r>
          </w:p>
        </w:tc>
        <w:tc>
          <w:tcPr>
            <w:tcW w:type="dxa" w:w="2946"/>
          </w:tcPr>
          <w:p>
            <w:pPr>
              <w:spacing w:after="0"/>
            </w:pPr>
            <w:r>
              <w:rPr>
                <w:rFonts w:ascii="Times New Roman" w:hAnsi="Times New Roman" w:eastAsia="Times New Roman"/>
                <w:b w:val="0"/>
                <w:i w:val="0"/>
                <w:sz w:val="18"/>
              </w:rPr>
              <w:t>9/120</w:t>
            </w:r>
          </w:p>
        </w:tc>
        <w:tc>
          <w:tcPr>
            <w:tcW w:type="dxa" w:w="2946"/>
          </w:tcPr>
          <w:p>
            <w:pPr>
              <w:spacing w:after="0"/>
            </w:pPr>
            <w:r>
              <w:rPr>
                <w:rFonts w:ascii="Times New Roman" w:hAnsi="Times New Roman" w:eastAsia="Times New Roman"/>
                <w:b w:val="0"/>
                <w:i w:val="0"/>
                <w:sz w:val="18"/>
              </w:rPr>
              <w:t>35/120</w:t>
            </w:r>
          </w:p>
        </w:tc>
      </w:tr>
      <w:tr>
        <w:tc>
          <w:tcPr>
            <w:tcW w:type="dxa" w:w="2946"/>
          </w:tcPr>
          <w:p>
            <w:pPr>
              <w:spacing w:after="0"/>
            </w:pPr>
            <w:r>
              <w:rPr>
                <w:rFonts w:ascii="Times New Roman" w:hAnsi="Times New Roman" w:eastAsia="Times New Roman"/>
                <w:b w:val="0"/>
                <w:i w:val="0"/>
                <w:sz w:val="18"/>
              </w:rPr>
              <w:t>Max predicted score</w:t>
            </w:r>
          </w:p>
        </w:tc>
        <w:tc>
          <w:tcPr>
            <w:tcW w:type="dxa" w:w="2946"/>
          </w:tcPr>
          <w:p>
            <w:pPr>
              <w:spacing w:after="0"/>
            </w:pPr>
            <w:r>
              <w:rPr>
                <w:rFonts w:ascii="Times New Roman" w:hAnsi="Times New Roman" w:eastAsia="Times New Roman"/>
                <w:b w:val="0"/>
                <w:i w:val="0"/>
                <w:sz w:val="18"/>
              </w:rPr>
              <w:t>0.95</w:t>
            </w:r>
          </w:p>
        </w:tc>
        <w:tc>
          <w:tcPr>
            <w:tcW w:type="dxa" w:w="2946"/>
          </w:tcPr>
          <w:p>
            <w:pPr>
              <w:spacing w:after="0"/>
            </w:pPr>
            <w:r>
              <w:rPr>
                <w:rFonts w:ascii="Times New Roman" w:hAnsi="Times New Roman" w:eastAsia="Times New Roman"/>
                <w:b w:val="0"/>
                <w:i w:val="0"/>
                <w:sz w:val="18"/>
              </w:rPr>
              <w:t>0.33</w:t>
            </w:r>
          </w:p>
        </w:tc>
      </w:tr>
      <w:tr>
        <w:tc>
          <w:tcPr>
            <w:tcW w:type="dxa" w:w="2946"/>
          </w:tcPr>
          <w:p>
            <w:pPr>
              <w:spacing w:after="0"/>
            </w:pPr>
            <w:r>
              <w:rPr>
                <w:rFonts w:ascii="Times New Roman" w:hAnsi="Times New Roman" w:eastAsia="Times New Roman"/>
                <w:b w:val="0"/>
                <w:i w:val="0"/>
                <w:sz w:val="18"/>
              </w:rPr>
              <w:t>Per-class AP@0.25</w:t>
            </w:r>
          </w:p>
        </w:tc>
        <w:tc>
          <w:tcPr>
            <w:tcW w:type="dxa" w:w="2946"/>
          </w:tcPr>
          <w:p>
            <w:pPr>
              <w:spacing w:after="0"/>
            </w:pPr>
            <w:r>
              <w:rPr>
                <w:rFonts w:ascii="Times New Roman" w:hAnsi="Times New Roman" w:eastAsia="Times New Roman"/>
                <w:b w:val="0"/>
                <w:i w:val="0"/>
                <w:sz w:val="18"/>
              </w:rPr>
              <w:t>0.0000</w:t>
            </w:r>
          </w:p>
        </w:tc>
        <w:tc>
          <w:tcPr>
            <w:tcW w:type="dxa" w:w="2946"/>
          </w:tcPr>
          <w:p>
            <w:pPr>
              <w:spacing w:after="0"/>
            </w:pPr>
            <w:r>
              <w:rPr>
                <w:rFonts w:ascii="Times New Roman" w:hAnsi="Times New Roman" w:eastAsia="Times New Roman"/>
                <w:b w:val="0"/>
                <w:i w:val="0"/>
                <w:sz w:val="18"/>
              </w:rPr>
              <w:t>0.0000</w:t>
            </w:r>
          </w:p>
        </w:tc>
      </w:tr>
      <w:tr>
        <w:tc>
          <w:tcPr>
            <w:tcW w:type="dxa" w:w="2946"/>
          </w:tcPr>
          <w:p>
            <w:pPr>
              <w:spacing w:after="0"/>
            </w:pPr>
            <w:r>
              <w:rPr>
                <w:rFonts w:ascii="Times New Roman" w:hAnsi="Times New Roman" w:eastAsia="Times New Roman"/>
                <w:b w:val="0"/>
                <w:i w:val="0"/>
                <w:sz w:val="18"/>
              </w:rPr>
              <w:t>Per-class AP@0.50</w:t>
            </w:r>
          </w:p>
        </w:tc>
        <w:tc>
          <w:tcPr>
            <w:tcW w:type="dxa" w:w="2946"/>
          </w:tcPr>
          <w:p>
            <w:pPr>
              <w:spacing w:after="0"/>
            </w:pPr>
            <w:r>
              <w:rPr>
                <w:rFonts w:ascii="Times New Roman" w:hAnsi="Times New Roman" w:eastAsia="Times New Roman"/>
                <w:b w:val="0"/>
                <w:i w:val="0"/>
                <w:sz w:val="18"/>
              </w:rPr>
              <w:t>0.0000</w:t>
            </w:r>
          </w:p>
        </w:tc>
        <w:tc>
          <w:tcPr>
            <w:tcW w:type="dxa" w:w="2946"/>
          </w:tcPr>
          <w:p>
            <w:pPr>
              <w:spacing w:after="0"/>
            </w:pPr>
            <w:r>
              <w:rPr>
                <w:rFonts w:ascii="Times New Roman" w:hAnsi="Times New Roman" w:eastAsia="Times New Roman"/>
                <w:b w:val="0"/>
                <w:i w:val="0"/>
                <w:sz w:val="18"/>
              </w:rPr>
              <w:t>0.0000</w:t>
            </w:r>
          </w:p>
        </w:tc>
      </w:tr>
    </w:tbl>
    <w:p>
      <w:pPr>
        <w:spacing w:after="40"/>
      </w:pPr>
    </w:p>
    <w:p>
      <w:pPr>
        <w:spacing w:after="160" w:line="240" w:lineRule="auto"/>
        <w:jc w:val="center"/>
      </w:pPr>
      <w:r>
        <w:rPr>
          <w:rFonts w:ascii="Times New Roman" w:hAnsi="Times New Roman" w:eastAsia="Times New Roman"/>
          <w:b w:val="0"/>
          <w:i/>
          <w:sz w:val="18"/>
        </w:rPr>
        <w:t>Table 3. Localization–classification decomposition: baseline (original) vs. remediation (TAA+VFL+WIoU), evaluated on a fixed n = 120 diagnostic image subset under 250-image / 320-px / 40-epoch training (both arms use 40-epoch checkpoints).</w:t>
      </w:r>
    </w:p>
    <w:p>
      <w:pPr>
        <w:spacing w:after="120" w:line="240" w:lineRule="auto"/>
        <w:jc w:val="both"/>
      </w:pPr>
      <w:r>
        <w:rPr>
          <w:rFonts w:ascii="Times New Roman" w:hAnsi="Times New Roman" w:eastAsia="Times New Roman"/>
          <w:b w:val="0"/>
          <w:i w:val="0"/>
          <w:sz w:val="22"/>
        </w:rPr>
        <w:t>Two controlled follow-ups confirm the classification gap is regime-limited, not a residual bug: (i) loading the MAE-pretrained backbone gives a loss floor of 5.88 vs. 5.89 for random init and identical mAP—no measurable gain under this reduced regime (this does not speak to full-recipe performance); (ii) the SoftTeacher semi-supervised path runs end-to-end after fixing a pseudo-label anchor-grid bug (hard-coded 640-px grid changed to a dynamic per-feature-map grid), with supervised loss 45.3 → 5.9 and unsupervised 7.1 → 4.5. The SoftTeacher path validates pipeline correctness only; it is not included in the accuracy comparisons of Tables 2 and 3.</w:t>
      </w:r>
    </w:p>
    <w:p>
      <w:pPr>
        <w:spacing w:before="160" w:after="80" w:line="240" w:lineRule="auto"/>
      </w:pPr>
      <w:r>
        <w:rPr>
          <w:rFonts w:ascii="Times New Roman" w:hAnsi="Times New Roman" w:eastAsia="Times New Roman"/>
          <w:b/>
          <w:i w:val="0"/>
          <w:sz w:val="23"/>
        </w:rPr>
        <w:t>3.3 Zero-shot cross-domain evaluation (VisDrone → UAVDT-M)</w:t>
      </w:r>
    </w:p>
    <w:p>
      <w:pPr>
        <w:spacing w:after="120" w:line="240" w:lineRule="auto"/>
        <w:jc w:val="both"/>
      </w:pPr>
      <w:r>
        <w:rPr>
          <w:rFonts w:ascii="Times New Roman" w:hAnsi="Times New Roman" w:eastAsia="Times New Roman"/>
          <w:b w:val="0"/>
          <w:i w:val="0"/>
          <w:sz w:val="22"/>
        </w:rPr>
        <w:t xml:space="preserve">We evaluate the VisDrone-trained model zero-shot on UAVDT-M car detection. The class bridge </w:t>
      </w:r>
      <w:r>
        <w:rPr>
          <w:rFonts w:ascii="Courier New" w:hAnsi="Courier New" w:eastAsia="Courier New"/>
          <w:b w:val="0"/>
          <w:i w:val="0"/>
          <w:sz w:val="22"/>
        </w:rPr>
        <w:t>map_src = 3:0, 4:0</w:t>
      </w:r>
      <w:r>
        <w:rPr>
          <w:rFonts w:ascii="Times New Roman" w:hAnsi="Times New Roman" w:eastAsia="Times New Roman"/>
          <w:b w:val="0"/>
          <w:i w:val="0"/>
          <w:sz w:val="22"/>
        </w:rPr>
        <w:t xml:space="preserve"> maps the 0-based VisDrone classes car (3) and van (4) onto the single UAVDT car class; the reported cross-domain metrics therefore refer to this merged vehicle class, not to a strict car-only evaluation, and predictions and ground truth are remapped consistently. The pipeline executes without runtime error (0/0 key mismatch for the model checkpoint), yet mAP@0.50 = 0.0000, consistent with the classification degradation observed above. Beyond classification, a severe localization degradation appears across the domain shift (Table 4, Figure 1): mean best-IoU drops from 0.40 to 0.17, and images with ≥0.25 / ≥0.50 overlap fall from 79% / 29% to 29% / 4.7%. This reflects an intrinsic domain gap between two UAV datasets—differences in flight altitude, scene type, camera parameters, and capture conditions (VisDrone versus UAVDT-M)—that the limited training budget cannot bridge.</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fill="E8EEF5"/>
          </w:tcPr>
          <w:p>
            <w:pPr>
              <w:spacing w:after="0"/>
            </w:pPr>
            <w:r>
              <w:rPr>
                <w:rFonts w:ascii="Times New Roman" w:hAnsi="Times New Roman" w:eastAsia="Times New Roman"/>
                <w:b/>
                <w:i w:val="0"/>
                <w:sz w:val="18"/>
              </w:rPr>
              <w:t>Diagnostic metric</w:t>
            </w:r>
          </w:p>
        </w:tc>
        <w:tc>
          <w:tcPr>
            <w:tcW w:type="dxa" w:w="2946"/>
            <w:shd w:val="clear" w:fill="E8EEF5"/>
          </w:tcPr>
          <w:p>
            <w:pPr>
              <w:spacing w:after="0"/>
            </w:pPr>
            <w:r>
              <w:rPr>
                <w:rFonts w:ascii="Times New Roman" w:hAnsi="Times New Roman" w:eastAsia="Times New Roman"/>
                <w:b/>
                <w:i w:val="0"/>
                <w:sz w:val="18"/>
              </w:rPr>
              <w:t>VisDrone in-domain</w:t>
            </w:r>
          </w:p>
        </w:tc>
        <w:tc>
          <w:tcPr>
            <w:tcW w:type="dxa" w:w="2946"/>
            <w:shd w:val="clear" w:fill="E8EEF5"/>
          </w:tcPr>
          <w:p>
            <w:pPr>
              <w:spacing w:after="0"/>
            </w:pPr>
            <w:r>
              <w:rPr>
                <w:rFonts w:ascii="Times New Roman" w:hAnsi="Times New Roman" w:eastAsia="Times New Roman"/>
                <w:b/>
                <w:i w:val="0"/>
                <w:sz w:val="18"/>
              </w:rPr>
              <w:t>UAVDT-M zero-shot</w:t>
            </w:r>
          </w:p>
        </w:tc>
      </w:tr>
      <w:tr>
        <w:tc>
          <w:tcPr>
            <w:tcW w:type="dxa" w:w="2946"/>
          </w:tcPr>
          <w:p>
            <w:pPr>
              <w:spacing w:after="0"/>
            </w:pPr>
            <w:r>
              <w:rPr>
                <w:rFonts w:ascii="Times New Roman" w:hAnsi="Times New Roman" w:eastAsia="Times New Roman"/>
                <w:b w:val="0"/>
                <w:i w:val="0"/>
                <w:sz w:val="18"/>
              </w:rPr>
              <w:t>mAP@0.50 (merged vehicle class)</w:t>
            </w:r>
          </w:p>
        </w:tc>
        <w:tc>
          <w:tcPr>
            <w:tcW w:type="dxa" w:w="2946"/>
          </w:tcPr>
          <w:p>
            <w:pPr>
              <w:spacing w:after="0"/>
            </w:pPr>
            <w:r>
              <w:rPr>
                <w:rFonts w:ascii="Times New Roman" w:hAnsi="Times New Roman" w:eastAsia="Times New Roman"/>
                <w:b w:val="0"/>
                <w:i w:val="0"/>
                <w:sz w:val="18"/>
              </w:rPr>
              <w:t>0.0000</w:t>
            </w:r>
          </w:p>
        </w:tc>
        <w:tc>
          <w:tcPr>
            <w:tcW w:type="dxa" w:w="2946"/>
          </w:tcPr>
          <w:p>
            <w:pPr>
              <w:spacing w:after="0"/>
            </w:pPr>
            <w:r>
              <w:rPr>
                <w:rFonts w:ascii="Times New Roman" w:hAnsi="Times New Roman" w:eastAsia="Times New Roman"/>
                <w:b w:val="0"/>
                <w:i w:val="0"/>
                <w:sz w:val="18"/>
              </w:rPr>
              <w:t>0.0000</w:t>
            </w:r>
          </w:p>
        </w:tc>
      </w:tr>
      <w:tr>
        <w:tc>
          <w:tcPr>
            <w:tcW w:type="dxa" w:w="2946"/>
          </w:tcPr>
          <w:p>
            <w:pPr>
              <w:spacing w:after="0"/>
            </w:pPr>
            <w:r>
              <w:rPr>
                <w:rFonts w:ascii="Times New Roman" w:hAnsi="Times New Roman" w:eastAsia="Times New Roman"/>
                <w:b w:val="0"/>
                <w:i w:val="0"/>
                <w:sz w:val="18"/>
              </w:rPr>
              <w:t>Mean best-IoU (car)</w:t>
            </w:r>
          </w:p>
        </w:tc>
        <w:tc>
          <w:tcPr>
            <w:tcW w:type="dxa" w:w="2946"/>
          </w:tcPr>
          <w:p>
            <w:pPr>
              <w:spacing w:after="0"/>
            </w:pPr>
            <w:r>
              <w:rPr>
                <w:rFonts w:ascii="Times New Roman" w:hAnsi="Times New Roman" w:eastAsia="Times New Roman"/>
                <w:b w:val="0"/>
                <w:i w:val="0"/>
                <w:sz w:val="18"/>
              </w:rPr>
              <w:t>0.40</w:t>
            </w:r>
          </w:p>
        </w:tc>
        <w:tc>
          <w:tcPr>
            <w:tcW w:type="dxa" w:w="2946"/>
          </w:tcPr>
          <w:p>
            <w:pPr>
              <w:spacing w:after="0"/>
            </w:pPr>
            <w:r>
              <w:rPr>
                <w:rFonts w:ascii="Times New Roman" w:hAnsi="Times New Roman" w:eastAsia="Times New Roman"/>
                <w:b w:val="0"/>
                <w:i w:val="0"/>
                <w:sz w:val="18"/>
              </w:rPr>
              <w:t>0.17</w:t>
            </w:r>
          </w:p>
        </w:tc>
      </w:tr>
      <w:tr>
        <w:tc>
          <w:tcPr>
            <w:tcW w:type="dxa" w:w="2946"/>
          </w:tcPr>
          <w:p>
            <w:pPr>
              <w:spacing w:after="0"/>
            </w:pPr>
            <w:r>
              <w:rPr>
                <w:rFonts w:ascii="Times New Roman" w:hAnsi="Times New Roman" w:eastAsia="Times New Roman"/>
                <w:b w:val="0"/>
                <w:i w:val="0"/>
                <w:sz w:val="18"/>
              </w:rPr>
              <w:t>Images with ≥0.25 IoU overlap</w:t>
            </w:r>
          </w:p>
        </w:tc>
        <w:tc>
          <w:tcPr>
            <w:tcW w:type="dxa" w:w="2946"/>
          </w:tcPr>
          <w:p>
            <w:pPr>
              <w:spacing w:after="0"/>
            </w:pPr>
            <w:r>
              <w:rPr>
                <w:rFonts w:ascii="Times New Roman" w:hAnsi="Times New Roman" w:eastAsia="Times New Roman"/>
                <w:b w:val="0"/>
                <w:i w:val="0"/>
                <w:sz w:val="18"/>
              </w:rPr>
              <w:t>95/120 (79%)</w:t>
            </w:r>
          </w:p>
        </w:tc>
        <w:tc>
          <w:tcPr>
            <w:tcW w:type="dxa" w:w="2946"/>
          </w:tcPr>
          <w:p>
            <w:pPr>
              <w:spacing w:after="0"/>
            </w:pPr>
            <w:r>
              <w:rPr>
                <w:rFonts w:ascii="Times New Roman" w:hAnsi="Times New Roman" w:eastAsia="Times New Roman"/>
                <w:b w:val="0"/>
                <w:i w:val="0"/>
                <w:sz w:val="18"/>
              </w:rPr>
              <w:t>87/300 (29%)</w:t>
            </w:r>
          </w:p>
        </w:tc>
      </w:tr>
      <w:tr>
        <w:tc>
          <w:tcPr>
            <w:tcW w:type="dxa" w:w="2946"/>
          </w:tcPr>
          <w:p>
            <w:pPr>
              <w:spacing w:after="0"/>
            </w:pPr>
            <w:r>
              <w:rPr>
                <w:rFonts w:ascii="Times New Roman" w:hAnsi="Times New Roman" w:eastAsia="Times New Roman"/>
                <w:b w:val="0"/>
                <w:i w:val="0"/>
                <w:sz w:val="18"/>
              </w:rPr>
              <w:t>Images with ≥0.50 IoU overlap</w:t>
            </w:r>
          </w:p>
        </w:tc>
        <w:tc>
          <w:tcPr>
            <w:tcW w:type="dxa" w:w="2946"/>
          </w:tcPr>
          <w:p>
            <w:pPr>
              <w:spacing w:after="0"/>
            </w:pPr>
            <w:r>
              <w:rPr>
                <w:rFonts w:ascii="Times New Roman" w:hAnsi="Times New Roman" w:eastAsia="Times New Roman"/>
                <w:b w:val="0"/>
                <w:i w:val="0"/>
                <w:sz w:val="18"/>
              </w:rPr>
              <w:t>35/120 (29%)</w:t>
            </w:r>
          </w:p>
        </w:tc>
        <w:tc>
          <w:tcPr>
            <w:tcW w:type="dxa" w:w="2946"/>
          </w:tcPr>
          <w:p>
            <w:pPr>
              <w:spacing w:after="0"/>
            </w:pPr>
            <w:r>
              <w:rPr>
                <w:rFonts w:ascii="Times New Roman" w:hAnsi="Times New Roman" w:eastAsia="Times New Roman"/>
                <w:b w:val="0"/>
                <w:i w:val="0"/>
                <w:sz w:val="18"/>
              </w:rPr>
              <w:t>14/300 (4.7%)</w:t>
            </w:r>
          </w:p>
        </w:tc>
      </w:tr>
    </w:tbl>
    <w:p>
      <w:pPr>
        <w:spacing w:after="40"/>
      </w:pPr>
    </w:p>
    <w:p>
      <w:pPr>
        <w:spacing w:after="160" w:line="240" w:lineRule="auto"/>
        <w:jc w:val="center"/>
      </w:pPr>
      <w:r>
        <w:rPr>
          <w:rFonts w:ascii="Times New Roman" w:hAnsi="Times New Roman" w:eastAsia="Times New Roman"/>
          <w:b w:val="0"/>
          <w:i/>
          <w:sz w:val="18"/>
        </w:rPr>
        <w:t>Table 4. In-domain vs. cross-domain localization diagnostic (conf = 0.001). In-domain figures use the same n = 120 VisDrone diagnostic subset; zero-shot figures use the first 300 images of the frame-sampled UAVDT-M list.</w:t>
      </w:r>
    </w:p>
    <w:p>
      <w:pPr>
        <w:jc w:val="center"/>
      </w:pPr>
      <w:r>
        <w:drawing>
          <wp:inline xmlns:a="http://schemas.openxmlformats.org/drawingml/2006/main" xmlns:pic="http://schemas.openxmlformats.org/drawingml/2006/picture">
            <wp:extent cx="5486400" cy="2233196"/>
            <wp:docPr id="5" name="Picture 5"/>
            <wp:cNvGraphicFramePr>
              <a:graphicFrameLocks noChangeAspect="1"/>
            </wp:cNvGraphicFramePr>
            <a:graphic>
              <a:graphicData uri="http://schemas.openxmlformats.org/drawingml/2006/picture">
                <pic:pic>
                  <pic:nvPicPr>
                    <pic:cNvPr id="0" name="RSL_fig1_domain_shift.png"/>
                    <pic:cNvPicPr/>
                  </pic:nvPicPr>
                  <pic:blipFill>
                    <a:blip r:embed="rId13"/>
                    <a:stretch>
                      <a:fillRect/>
                    </a:stretch>
                  </pic:blipFill>
                  <pic:spPr>
                    <a:xfrm>
                      <a:off x="0" y="0"/>
                      <a:ext cx="5486400" cy="2233196"/>
                    </a:xfrm>
                    <a:prstGeom prst="rect"/>
                  </pic:spPr>
                </pic:pic>
              </a:graphicData>
            </a:graphic>
          </wp:inline>
        </w:drawing>
      </w:r>
    </w:p>
    <w:p>
      <w:pPr>
        <w:spacing w:after="160"/>
        <w:jc w:val="center"/>
      </w:pPr>
      <w:r>
        <w:rPr>
          <w:rFonts w:ascii="Times New Roman" w:hAnsi="Times New Roman" w:eastAsia="Times New Roman"/>
          <w:b w:val="0"/>
          <w:i/>
          <w:sz w:val="18"/>
        </w:rPr>
        <w:t>Figure 1. Cross-domain localization degradation from VisDrone (in-domain) to UAVDT-M (zero-shot). (a) Mean best per-image IoU drops from 0.40 to 0.17. (b) Image-level overlap rates at IoU ≥ 0.25 and IoU ≥ 0.50 collapse across the domain shift.</w:t>
      </w:r>
    </w:p>
    <w:p>
      <w:pPr>
        <w:spacing w:before="240" w:after="100" w:line="240" w:lineRule="auto"/>
      </w:pPr>
      <w:r>
        <w:rPr>
          <w:rFonts w:ascii="Times New Roman" w:hAnsi="Times New Roman" w:eastAsia="Times New Roman"/>
          <w:b/>
          <w:i w:val="0"/>
          <w:sz w:val="26"/>
        </w:rPr>
        <w:t>4. Discussion</w:t>
      </w:r>
    </w:p>
    <w:p>
      <w:pPr>
        <w:spacing w:after="120" w:line="240" w:lineRule="auto"/>
        <w:jc w:val="both"/>
      </w:pPr>
      <w:r>
        <w:rPr>
          <w:rFonts w:ascii="Times New Roman" w:hAnsi="Times New Roman" w:eastAsia="Times New Roman"/>
          <w:b w:val="0"/>
          <w:i w:val="0"/>
          <w:sz w:val="22"/>
        </w:rPr>
        <w:t>After correcting four runtime defects, zero-valued AP metrics reflect model behaviour under limited training resources instead of implementation bugs. Our remediation experiment separates two independent failure modes: localization performance can be substantially improved using TaskAlignedAssigner (raising positive anchor cells from ~1 to ~10 per ground-truth object), whereas classification performance remains poor when trained with only 250 samples, 320-pixel resolution and limited epochs. This limitation arises from insufficient training data rather than code defects. From the perspective of UAV remote sensing, it underscores that aerial detectors demand large, domain-specific annotated corpora before their claimed accuracy can be realized in operational settings. Cross-domain evaluation further demonstrates a third independent effect: intrinsic domain shift degrades localization even for samples well-localized within the source dataset.</w:t>
      </w:r>
    </w:p>
    <w:p>
      <w:pPr>
        <w:spacing w:after="120" w:line="240" w:lineRule="auto"/>
        <w:jc w:val="both"/>
      </w:pPr>
      <w:r>
        <w:rPr>
          <w:rFonts w:ascii="Times New Roman" w:hAnsi="Times New Roman" w:eastAsia="Times New Roman"/>
          <w:b w:val="0"/>
          <w:i w:val="0"/>
          <w:sz w:val="22"/>
        </w:rPr>
        <w:t xml:space="preserve">For reproducible research practice, we explicitly distinguish three mutually independent failure sources: (i) runtime and cross-mapping software bugs, which are fully resolved; (ii) zero-AP metrics under the small CPU training subset caused by limited data-compute budget—intra-domain localization capacity has already been restored, but classification remains open; (iii) a further localization drop under cross-domain evaluation (mean best-IoU from 0.40 to 0.17), which represents a genuine dataset domain gap and is distinct from failure (ii). All CPU-based reduced-regime results serve for code audit only and should </w:t>
      </w:r>
      <w:r>
        <w:rPr>
          <w:rFonts w:ascii="Times New Roman" w:hAnsi="Times New Roman" w:eastAsia="Times New Roman"/>
          <w:b/>
          <w:i w:val="0"/>
          <w:sz w:val="22"/>
        </w:rPr>
        <w:t>not</w:t>
      </w:r>
      <w:r>
        <w:rPr>
          <w:rFonts w:ascii="Times New Roman" w:hAnsi="Times New Roman" w:eastAsia="Times New Roman"/>
          <w:b w:val="0"/>
          <w:i w:val="0"/>
          <w:sz w:val="22"/>
        </w:rPr>
        <w:t xml:space="preserve"> be interpreted as the upper-bound performance of MD-YOLO. To achieve the performance claimed in the original design specification requires the full 6 471-image training set, a higher input resolution, longer training schedules, MAE backbone initialization, SoftTeacher semi-supervised learning, and GPU compute—the design specification prescribes these components without fixing a complete numerical recipe—and lies outside the scope of this audit. Exploratory future work includes a small-scale data/compute scaling study (e.g. 500–1 000 training images or higher input resolution) to verify the data-regime explanation, 3-class UAVDT evaluation (car/truck/bus), and few-shot fine-tuning on target-domain UAVDT annotations.</w:t>
      </w:r>
    </w:p>
    <w:p>
      <w:pPr>
        <w:spacing w:after="120" w:line="240" w:lineRule="auto"/>
        <w:jc w:val="both"/>
      </w:pPr>
      <w:r>
        <w:rPr>
          <w:rFonts w:ascii="Times New Roman" w:hAnsi="Times New Roman" w:eastAsia="Times New Roman"/>
          <w:b w:val="0"/>
          <w:i w:val="0"/>
          <w:sz w:val="22"/>
        </w:rPr>
        <w:t>Full reproducibility commands, pseudo-code and supplementary diagnostic tables are provided in Supplementary Material.</w:t>
      </w:r>
    </w:p>
    <w:p>
      <w:pPr>
        <w:spacing w:before="240" w:after="100" w:line="240" w:lineRule="auto"/>
      </w:pPr>
      <w:r>
        <w:rPr>
          <w:rFonts w:ascii="Times New Roman" w:hAnsi="Times New Roman" w:eastAsia="Times New Roman"/>
          <w:b/>
          <w:i w:val="0"/>
          <w:sz w:val="26"/>
        </w:rPr>
        <w:t>Declaration of competing interest</w:t>
      </w:r>
    </w:p>
    <w:p>
      <w:pPr>
        <w:spacing w:after="120" w:line="240" w:lineRule="auto"/>
        <w:jc w:val="both"/>
      </w:pPr>
      <w:r>
        <w:rPr>
          <w:rFonts w:ascii="Times New Roman" w:hAnsi="Times New Roman" w:eastAsia="Times New Roman"/>
          <w:b w:val="0"/>
          <w:i w:val="0"/>
          <w:sz w:val="22"/>
        </w:rPr>
        <w:t>The authors report there are no competing interests to declare.</w:t>
      </w:r>
    </w:p>
    <w:p>
      <w:pPr>
        <w:spacing w:before="240" w:after="100" w:line="240" w:lineRule="auto"/>
      </w:pPr>
      <w:r>
        <w:rPr>
          <w:rFonts w:ascii="Times New Roman" w:hAnsi="Times New Roman" w:eastAsia="Times New Roman"/>
          <w:b/>
          <w:i w:val="0"/>
          <w:sz w:val="26"/>
        </w:rPr>
        <w:t>Acknowledgments</w:t>
      </w:r>
    </w:p>
    <w:p>
      <w:pPr>
        <w:spacing w:after="120" w:line="240" w:lineRule="auto"/>
        <w:jc w:val="both"/>
      </w:pPr>
      <w:r>
        <w:rPr>
          <w:rFonts w:ascii="Times New Roman" w:hAnsi="Times New Roman" w:eastAsia="Times New Roman"/>
          <w:b w:val="0"/>
          <w:i w:val="0"/>
          <w:sz w:val="22"/>
        </w:rPr>
        <w:t>This research was supported by Guangdong University of Science and Technology under Grant No. GKY-2025BSQDK-46. The authors thank the VisDrone and UAVDT benchmark providers for public datasets.</w:t>
      </w:r>
    </w:p>
    <w:p>
      <w:pPr>
        <w:spacing w:before="240" w:after="100" w:line="240" w:lineRule="auto"/>
      </w:pPr>
      <w:r>
        <w:rPr>
          <w:rFonts w:ascii="Times New Roman" w:hAnsi="Times New Roman" w:eastAsia="Times New Roman"/>
          <w:b/>
          <w:i w:val="0"/>
          <w:sz w:val="26"/>
        </w:rPr>
        <w:t>Data and Code Availability</w:t>
      </w:r>
    </w:p>
    <w:p>
      <w:pPr>
        <w:spacing w:after="120" w:line="240" w:lineRule="auto"/>
        <w:jc w:val="both"/>
      </w:pPr>
      <w:r>
        <w:rPr>
          <w:rFonts w:ascii="Times New Roman" w:hAnsi="Times New Roman" w:eastAsia="Times New Roman"/>
          <w:b w:val="0"/>
          <w:i w:val="0"/>
          <w:sz w:val="22"/>
        </w:rPr>
        <w:t>The audited MD-YOLO source code, the bug-fix patches, the dataset-conversion scripts, and the exact commands and configuration files for every experiment are provided in the Supplementary Material and will be deposited in a public repository upon acceptance ([repository URL, version/commit hash and access date to be supplied by the authors]). The converted VisDrone2019-DET YOLO-format annotations, the frame-sampled UAVDT-M list, and the deterministic diagnostic subsets (first 250 sorted training images for training; first 120 validation images and first 300 frame-sampled UAVDT-M images for diagnostics—no random sampling) are fully specified by the conversion scripts in the Supplementary Material. All experiments ran on CPU-only hardware; the full environment specification (OS, Python, PyTorch, CPU model, and dependency versions) is included in the Supplementary Material.</w:t>
      </w:r>
    </w:p>
    <w:p>
      <w:pPr>
        <w:spacing w:before="240" w:after="100" w:line="240" w:lineRule="auto"/>
      </w:pPr>
      <w:r>
        <w:rPr>
          <w:rFonts w:ascii="Times New Roman" w:hAnsi="Times New Roman" w:eastAsia="Times New Roman"/>
          <w:b/>
          <w:i w:val="0"/>
          <w:sz w:val="26"/>
        </w:rPr>
        <w:t>References</w:t>
      </w:r>
    </w:p>
    <w:p>
      <w:pPr>
        <w:spacing w:after="60" w:line="240" w:lineRule="auto"/>
        <w:ind w:left="360" w:hanging="360"/>
        <w:jc w:val="both"/>
      </w:pPr>
      <w:r>
        <w:rPr>
          <w:rFonts w:ascii="Times New Roman" w:hAnsi="Times New Roman" w:eastAsia="Times New Roman"/>
          <w:b w:val="0"/>
          <w:i w:val="0"/>
          <w:sz w:val="20"/>
        </w:rPr>
        <w:t>Cheng, G., X. Yuan, X. Yao, K. Yan, Q. Zeng, X. Xie, and J. Han. 2023. "Towards Large-Scale Small Object Detection: Survey and Benchmarks." IEEE Transactions on Pattern Analysis and Machine Intelligence 45 (1): 134–157.</w:t>
      </w:r>
    </w:p>
    <w:p>
      <w:pPr>
        <w:spacing w:after="60" w:line="240" w:lineRule="auto"/>
        <w:ind w:left="360" w:hanging="360"/>
        <w:jc w:val="both"/>
      </w:pPr>
      <w:r>
        <w:rPr>
          <w:rFonts w:ascii="Times New Roman" w:hAnsi="Times New Roman" w:eastAsia="Times New Roman"/>
          <w:b w:val="0"/>
          <w:i w:val="0"/>
          <w:sz w:val="20"/>
        </w:rPr>
        <w:t>Du, D., Y. Qi, H. Yu, Y. Yang, K. Duan, G. Li, W. Zhang, Q. Huang, and Q. Tian. 2018. "The Unmanned Aerial Vehicle Benchmark: Object Detection and Tracking." In Proceedings of the European Conference on Computer Vision (ECCV), 370–386.</w:t>
      </w:r>
    </w:p>
    <w:p>
      <w:pPr>
        <w:spacing w:after="60" w:line="240" w:lineRule="auto"/>
        <w:ind w:left="360" w:hanging="360"/>
        <w:jc w:val="both"/>
      </w:pPr>
      <w:r>
        <w:rPr>
          <w:rFonts w:ascii="Times New Roman" w:hAnsi="Times New Roman" w:eastAsia="Times New Roman"/>
          <w:b w:val="0"/>
          <w:i w:val="0"/>
          <w:sz w:val="20"/>
        </w:rPr>
        <w:t>Du, D., P. Zhu, L. Wen, X. Bian, H. Ling, Q. Hu, Q. Nie, H. Cheng, X. Liu, S. Lyu, et al. 2019. "VisDrone-DET2019: The Vision Meets Drone Object Detection in Image Challenge Results." In Proceedings of the IEEE/CVF International Conference on Computer Vision Workshops (ICCVW), 213–226. doi:10.1109/ICCVW.2019.00030.</w:t>
      </w:r>
    </w:p>
    <w:p>
      <w:pPr>
        <w:spacing w:after="60" w:line="240" w:lineRule="auto"/>
        <w:ind w:left="360" w:hanging="360"/>
        <w:jc w:val="both"/>
      </w:pPr>
      <w:r>
        <w:rPr>
          <w:rFonts w:ascii="Times New Roman" w:hAnsi="Times New Roman" w:eastAsia="Times New Roman"/>
          <w:b w:val="0"/>
          <w:i w:val="0"/>
          <w:sz w:val="20"/>
        </w:rPr>
        <w:t>Feng, C., Y. Zhong, Y. Gao, M. R. Scott, and W. Huang. 2021. "TOOD: Task-Aligned One-Stage Object Detection." In Proceedings of the IEEE/CVF International Conference on Computer Vision (ICCV), 3490–3499.</w:t>
      </w:r>
    </w:p>
    <w:p>
      <w:pPr>
        <w:spacing w:after="60" w:line="240" w:lineRule="auto"/>
        <w:ind w:left="360" w:hanging="360"/>
        <w:jc w:val="both"/>
      </w:pPr>
      <w:r>
        <w:rPr>
          <w:rFonts w:ascii="Times New Roman" w:hAnsi="Times New Roman" w:eastAsia="Times New Roman"/>
          <w:b w:val="0"/>
          <w:i w:val="0"/>
          <w:sz w:val="20"/>
        </w:rPr>
        <w:t>He, K., X. Chen, S. Xie, Y. Li, P. Dollár, and R. Girshick. 2022. "Masked Autoencoders Are Scalable Vision Learners." In Proceedings of the IEEE/CVF Conference on Computer Vision and Pattern Recognition (CVPR), 16000–16009.</w:t>
      </w:r>
    </w:p>
    <w:p>
      <w:pPr>
        <w:spacing w:after="60" w:line="240" w:lineRule="auto"/>
        <w:ind w:left="360" w:hanging="360"/>
        <w:jc w:val="both"/>
      </w:pPr>
      <w:r>
        <w:rPr>
          <w:rFonts w:ascii="Times New Roman" w:hAnsi="Times New Roman" w:eastAsia="Times New Roman"/>
          <w:b w:val="0"/>
          <w:i w:val="0"/>
          <w:sz w:val="20"/>
        </w:rPr>
        <w:t>Jocher, G., A. Chaurasia, and J. Qiu. 2023. Ultralytics YOLOv8. https://github.com/ultralytics/ultralytics.</w:t>
      </w:r>
    </w:p>
    <w:p>
      <w:pPr>
        <w:spacing w:after="60" w:line="240" w:lineRule="auto"/>
        <w:ind w:left="360" w:hanging="360"/>
        <w:jc w:val="both"/>
      </w:pPr>
      <w:r>
        <w:rPr>
          <w:rFonts w:ascii="Times New Roman" w:hAnsi="Times New Roman" w:eastAsia="Times New Roman"/>
          <w:b w:val="0"/>
          <w:i w:val="0"/>
          <w:sz w:val="20"/>
        </w:rPr>
        <w:t>Khanam, R., and M. Hussain. 2024. "YOLOv11: An Overview of the Key Architectural Enhancements." arXiv:2410.17725.</w:t>
      </w:r>
    </w:p>
    <w:p>
      <w:pPr>
        <w:spacing w:after="60" w:line="240" w:lineRule="auto"/>
        <w:ind w:left="360" w:hanging="360"/>
        <w:jc w:val="both"/>
      </w:pPr>
      <w:r>
        <w:rPr>
          <w:rFonts w:ascii="Times New Roman" w:hAnsi="Times New Roman" w:eastAsia="Times New Roman"/>
          <w:b w:val="0"/>
          <w:i w:val="0"/>
          <w:sz w:val="20"/>
        </w:rPr>
        <w:t>Lin, T.-Y., M. Maire, S. Belongie, J. Hays, P. Perona, D. Ramanan, P. Dollár, and C. L. Zitnick. 2014. "Microsoft COCO: Common Objects in Context." In Proceedings of the European Conference on Computer Vision (ECCV), 740–755. doi:10.1007/978-3-319-10602-1_48.</w:t>
      </w:r>
    </w:p>
    <w:p>
      <w:pPr>
        <w:spacing w:after="60" w:line="240" w:lineRule="auto"/>
        <w:ind w:left="360" w:hanging="360"/>
        <w:jc w:val="both"/>
      </w:pPr>
      <w:r>
        <w:rPr>
          <w:rFonts w:ascii="Times New Roman" w:hAnsi="Times New Roman" w:eastAsia="Times New Roman"/>
          <w:b w:val="0"/>
          <w:i w:val="0"/>
          <w:sz w:val="20"/>
        </w:rPr>
        <w:t>MD-YOLO. n.d. Multi-Scale Adaptive &amp; Dual-Attention Enhanced YOLOv11 for UAV Small-Object Detection [Computer software and design document]. GitHub repository: [URL to be supplied]; version/commit: [to be supplied]; accessed [date to be supplied].</w:t>
      </w:r>
    </w:p>
    <w:p>
      <w:pPr>
        <w:spacing w:after="60" w:line="240" w:lineRule="auto"/>
        <w:ind w:left="360" w:hanging="360"/>
        <w:jc w:val="both"/>
      </w:pPr>
      <w:r>
        <w:rPr>
          <w:rFonts w:ascii="Times New Roman" w:hAnsi="Times New Roman" w:eastAsia="Times New Roman"/>
          <w:b w:val="0"/>
          <w:i w:val="0"/>
          <w:sz w:val="20"/>
        </w:rPr>
        <w:t>Pineau, J., P. Vincent-Lamarre, K. Sinha, V. Larivière, A. Beygelzimer, F. d'Alché-Buc, E. Fox, and H. Larochelle. 2020. "Improving Reproducibility in Machine Learning Research (Dagstuhl Seminar 19242)." arXiv:2003.12206.</w:t>
      </w:r>
    </w:p>
    <w:p>
      <w:pPr>
        <w:spacing w:after="60" w:line="240" w:lineRule="auto"/>
        <w:ind w:left="360" w:hanging="360"/>
        <w:jc w:val="both"/>
      </w:pPr>
      <w:r>
        <w:rPr>
          <w:rFonts w:ascii="Times New Roman" w:hAnsi="Times New Roman" w:eastAsia="Times New Roman"/>
          <w:b w:val="0"/>
          <w:i w:val="0"/>
          <w:sz w:val="20"/>
        </w:rPr>
        <w:t>Redmon, J., S. Divvala, R. Girshick, and A. Farhadi. 2016. "You Only Look Once: Unified, Real-Time Object Detection." In Proceedings of the IEEE Conference on Computer Vision and Pattern Recognition (CVPR), 779–788. doi:10.1109/CVPR.2016.91.</w:t>
      </w:r>
    </w:p>
    <w:p>
      <w:pPr>
        <w:spacing w:after="60" w:line="240" w:lineRule="auto"/>
        <w:ind w:left="360" w:hanging="360"/>
        <w:jc w:val="both"/>
      </w:pPr>
      <w:r>
        <w:rPr>
          <w:rFonts w:ascii="Times New Roman" w:hAnsi="Times New Roman" w:eastAsia="Times New Roman"/>
          <w:b w:val="0"/>
          <w:i w:val="0"/>
          <w:sz w:val="20"/>
        </w:rPr>
        <w:t>Tong, Z., Y. Chen, Z. Xu, and R. Yu. 2023. "Wise-IoU: Bounding Box Regression Loss with Dynamic Focusing Mechanism." arXiv:2301.10051.</w:t>
      </w:r>
    </w:p>
    <w:p>
      <w:pPr>
        <w:spacing w:after="60" w:line="240" w:lineRule="auto"/>
        <w:ind w:left="360" w:hanging="360"/>
        <w:jc w:val="both"/>
      </w:pPr>
      <w:r>
        <w:rPr>
          <w:rFonts w:ascii="Times New Roman" w:hAnsi="Times New Roman" w:eastAsia="Times New Roman"/>
          <w:b w:val="0"/>
          <w:i w:val="0"/>
          <w:sz w:val="20"/>
        </w:rPr>
        <w:t>Xia, G.-S., X. Bai, J. Ding, Z. Zhu, S. Belongie, J. Luo, M. Datcu, M. Pelillo, and L. Zhang. 2018. "DOTA: A Large-Scale Dataset for Object Detection in Aerial Images." In Proceedings of the IEEE/CVF Conference on Computer Vision and Pattern Recognition (CVPR), 3974–3983. doi:10.1109/CVPR.2018.00418.</w:t>
      </w:r>
    </w:p>
    <w:p>
      <w:pPr>
        <w:spacing w:after="60" w:line="240" w:lineRule="auto"/>
        <w:ind w:left="360" w:hanging="360"/>
        <w:jc w:val="both"/>
      </w:pPr>
      <w:r>
        <w:rPr>
          <w:rFonts w:ascii="Times New Roman" w:hAnsi="Times New Roman" w:eastAsia="Times New Roman"/>
          <w:b w:val="0"/>
          <w:i w:val="0"/>
          <w:sz w:val="20"/>
        </w:rPr>
        <w:t>Xu, M., Z. Zhang, H. Hu, J. Wang, L. Wang, F. Wei, X. Bai, and Z. Liu. 2021. "End-to-End Semi-Supervised Object Detection with Soft Teacher." In Proceedings of the IEEE/CVF International Conference on Computer Vision (ICCV), 3060–3069.</w:t>
      </w:r>
    </w:p>
    <w:p>
      <w:pPr>
        <w:spacing w:after="60" w:line="240" w:lineRule="auto"/>
        <w:ind w:left="360" w:hanging="360"/>
        <w:jc w:val="both"/>
      </w:pPr>
      <w:r>
        <w:rPr>
          <w:rFonts w:ascii="Times New Roman" w:hAnsi="Times New Roman" w:eastAsia="Times New Roman"/>
          <w:b w:val="0"/>
          <w:i w:val="0"/>
          <w:sz w:val="20"/>
        </w:rPr>
        <w:t>Zhang, H., Y. Wang, F. Dayoub, and N. Sünderhauf. 2021. "VarifocalNet: An IoU-Aware Dense Object Detector." In Proceedings of the IEEE/CVF Conference on Computer Vision and Pattern Recognition (CVPR), 8514–8523.</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