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Supplementary Material: An Empirical Reproducibility Audit of MD-YOLO for Small-Object Detection in UAV Imagery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Qinmin Wang¹, Zhenzhen Hu², Hongyuan Wang¹, and Yuming Sun¹,*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¹ School of Computer Science and Artificial Intelligence, Guangdong University of Science and Technology, Dongguan, China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² Chengdu University of Information Technology, Chengdu, China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This Supplementary Material supports the Research Letter and contains three items referenced from the main text: (i) the complete runtime-defect table (Table S1), (ii) pseudocode for the MAC backbone and DAFA neck, and (iii) full reproducibility commands.</w:t>
      </w:r>
    </w:p>
    <w:p>
      <w:r>
        <w:rPr>
          <w:rFonts w:ascii="Times New Roman" w:hAnsi="Times New Roman"/>
          <w:b/>
          <w:i w:val="0"/>
          <w:sz w:val="24"/>
        </w:rPr>
        <w:t>Table S1. Runtime defects exposed by real-data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Defect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Symptom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Fix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Collate crash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`DataLoader` cannot stack variable-length boxes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`collate_flex` keeps targets as a list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`letterbox` unpacking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four-value return unpacked as three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`img, _, _, _ = letterbox(...)`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Double-stride decode (critical)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`p_x = (g_x + offset)·s` pushes boxes out of bounds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`p_x = g_x + offset·s` in all three modules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Empty class-map filter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in-domain eval discards all detections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guard with `if labels.numel()&gt;0 and map_src:`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sz w:val="18"/>
        </w:rPr>
        <w:t>Table S1. The four runtime defects uncovered by executing the pipeline on real data, with the critical double-stride decode error responsible for mAP = 0.</w:t>
      </w:r>
    </w:p>
    <w:p>
      <w:r>
        <w:rPr>
          <w:rFonts w:ascii="Times New Roman" w:hAnsi="Times New Roman"/>
          <w:b/>
          <w:i w:val="0"/>
          <w:sz w:val="24"/>
        </w:rPr>
        <w:t>Software and hardware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Item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Specification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OS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Windows 10, x86-64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3.13.14 (CPython)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PyTorch / torchvision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2.14.0+cpu / 0.29.0+cpu (CPU-only, no CUDA)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CPU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Intel 10th-gen Core (Comet Lake), 12 logical cores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Key dependencies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NumPy 2.5.2, Matplotlib 3.11.1, Pillow 12.3.0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All reported experiments (MAE pretraining, supervised training, remediation training, SoftTeacher pipeline check, in-domain and cross-domain diagnostics) ran on this single CPU-only machine; no GPU was used at any stage.</w:t>
      </w:r>
    </w:p>
    <w:p>
      <w:r>
        <w:rPr>
          <w:rFonts w:ascii="Times New Roman" w:hAnsi="Times New Roman"/>
          <w:b/>
          <w:i w:val="0"/>
          <w:sz w:val="24"/>
        </w:rPr>
        <w:t>MAC backbone and DAFA neck pseudocode</w:t>
      </w:r>
    </w:p>
    <w:p>
      <w:pPr>
        <w:spacing w:after="160"/>
        <w:ind w:left="288"/>
      </w:pPr>
      <w:r>
        <w:rPr>
          <w:rFonts w:ascii="Courier New" w:hAnsi="Courier New"/>
          <w:b w:val="0"/>
          <w:i w:val="0"/>
          <w:sz w:val="18"/>
        </w:rPr>
        <w:t># MAC: Multi-scale Adaptive Convolution (downsampling block)</w:t>
        <w:br/>
        <w:t>def mac_block(x, expand=2):</w:t>
        <w:br/>
        <w:t xml:space="preserve">    b, c, h, w = x.shape</w:t>
        <w:br/>
        <w:t xml:space="preserve">    # adaptive kernel selection via global context</w:t>
        <w:br/>
        <w:t xml:space="preserve">    att = sigmoid(conv1x1(global_avg_pool(x)))      # channel attention</w:t>
        <w:br/>
        <w:t xml:space="preserve">    k = 3 + 2 * round(att.mean() * 1.0)             # 3 or 5</w:t>
        <w:br/>
        <w:t xml:space="preserve">    y = depthwise_conv(x, kernel_size=k) * att</w:t>
        <w:br/>
        <w:t xml:space="preserve">    y = conv1x1(y)</w:t>
        <w:br/>
        <w:t xml:space="preserve">    return y + downsample(x, stride=2)               # stride 4/8/16/32</w:t>
        <w:br/>
        <w:br/>
        <w:t># DAFA: Dual-Attention Feature Aggregation neck</w:t>
        <w:br/>
        <w:t>def dafa_neck(feats):                                # feats: [P2,P3,P4,P5]</w:t>
        <w:br/>
        <w:t xml:space="preserve">    top_down = fpn_top_down(feats)                   # path a: semantic</w:t>
        <w:br/>
        <w:t xml:space="preserve">    bot_up   = pan_bottom_up(feats)                  # path b: localization</w:t>
        <w:br/>
        <w:t xml:space="preserve">    fused = []</w:t>
        <w:br/>
        <w:t xml:space="preserve">    for a, b in zip(top_down, bot_up):</w:t>
        <w:br/>
        <w:t xml:space="preserve">        sa = spatial_attention(a)                    # spatial attention</w:t>
        <w:br/>
        <w:t xml:space="preserve">        ca = channel_attention(b)                    # channel attention</w:t>
        <w:br/>
        <w:t xml:space="preserve">        fused.append(a * sa + b * ca)</w:t>
        <w:br/>
        <w:t xml:space="preserve">    return detect_heads(fused)                        # P2-P5 heads</w:t>
      </w:r>
    </w:p>
    <w:p>
      <w:r>
        <w:rPr>
          <w:rFonts w:ascii="Times New Roman" w:hAnsi="Times New Roman"/>
          <w:b/>
          <w:i w:val="0"/>
          <w:sz w:val="24"/>
        </w:rPr>
        <w:t>Full reproducibility commands</w:t>
      </w:r>
    </w:p>
    <w:p>
      <w:pPr>
        <w:spacing w:after="160"/>
        <w:ind w:left="288"/>
      </w:pPr>
      <w:r>
        <w:rPr>
          <w:rFonts w:ascii="Courier New" w:hAnsi="Courier New"/>
          <w:b w:val="0"/>
          <w:i w:val="0"/>
          <w:sz w:val="18"/>
        </w:rPr>
        <w:t># VisDrone preparation &amp; supervised training (250-image subset, 320 px)</w:t>
        <w:br/>
        <w:t># NOTE: the BASELINE arm (Tables 2-3) uses the pre-remediation loss module</w:t>
        <w:br/>
        <w:t># (single-center assignment, sigmoid BCE, CIoU); the command below reproduces</w:t>
        <w:br/>
        <w:t># the REMEDIATION arm (TAA + VFL + WIoU).</w:t>
        <w:br/>
        <w:t>python tools/prepare_visdrone.py &lt;visdrone_root&gt; &lt;out_root&gt;</w:t>
        <w:br/>
        <w:t>python tools/train_sup.py --images &lt;train/images&gt; --labels &lt;train/labels&gt; \</w:t>
        <w:br/>
        <w:t xml:space="preserve">    --img_size 320 --epochs 40 --subset 250 --opt adamw --sched cosine \</w:t>
        <w:br/>
        <w:t xml:space="preserve">    --warmup 3 --lr 0.001 --box_loss wiou --assign_topk 10</w:t>
        <w:br/>
        <w:t>python tools/eval_report.py --weights ckpt_sup_v2/sup_last.pth \</w:t>
        <w:br/>
        <w:t xml:space="preserve">    --val_img &lt;val/images&gt; --val_lbl &lt;val/labels&gt; --img_size 320 --conf 0.05</w:t>
        <w:br/>
        <w:br/>
        <w:t># UAVDT-M zero-shot cross-domain evaluation (single-class car)</w:t>
        <w:br/>
        <w:t>python tools/prepare_uavdt.py --raw_gt &lt;uavdt_gt&gt; --img_root &lt;uavdt_frames&gt; --out &lt;uavdt_test&gt;</w:t>
        <w:br/>
        <w:t>python tools/eval_cross_domain.py --weights ckpt_sup_v2/sup_last.pth --mode zero_shot \</w:t>
        <w:br/>
        <w:t xml:space="preserve">    --val_img &lt;uavdt_test/images&gt; --val_lbl &lt;uavdt_test/labels&gt; \</w:t>
        <w:br/>
        <w:t xml:space="preserve">    --classes car --map_src "3:0,4:0" --source_nc 10 --img_size 320 --conf 0.05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All experiments were executed on CPU-only hardware; the reduced configuration (250 images, 320 px, 40 epochs) is a reproducibility-audit regime and must not be read as the method's accuracy ceiling.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