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3CBA3">
      <w:pPr>
        <w:rPr>
          <w:b/>
          <w:bCs/>
        </w:rPr>
      </w:pPr>
      <w:bookmarkStart w:id="0" w:name="_GoBack"/>
      <w:r>
        <w:t>为什么是Avalanche、这跟韩国已经在跑的稳定币和现代汽车跨境支付项目是不是一个体系、这对其他国家会不会有示范效应。</w:t>
      </w:r>
      <w:r>
        <w:br w:type="textWrapping"/>
      </w:r>
      <w:r>
        <w:br w:type="textWrapping"/>
      </w:r>
      <w:r>
        <w:br w:type="textWrapping"/>
      </w:r>
      <w:r>
        <w:br w:type="textWrapping"/>
      </w:r>
      <w:r>
        <w:br w:type="textWrapping"/>
      </w:r>
      <w:r>
        <w:rPr>
          <w:b/>
          <w:bCs/>
        </w:rPr>
        <w:t>第一部分：韩国那件事</w:t>
      </w:r>
    </w:p>
    <w:p w14:paraId="13881B56">
      <w:r>
        <w:rPr>
          <w:b/>
          <w:bCs/>
        </w:rPr>
        <w:t>发生了什么</w:t>
      </w:r>
      <w:r>
        <w:t>：9月4日，韩国金融服务委员会（FSC）和韩国证券存管院（KSD，相当于中国的中登公司，负责证券的登记托管清算）联合宣布，要把股票、债券、基金这类证券"搬上区块链"。这不是研究报告，是一份</w:t>
      </w:r>
      <w:r>
        <w:rPr>
          <w:b/>
          <w:bCs/>
        </w:rPr>
        <w:t>有明确法律依据和时间表的正式路线图</w:t>
      </w:r>
      <w:r>
        <w:t>：2026年2月已经修订通过了《电子证券法》和《资本市场法》，修订后的条文正式生效日期是</w:t>
      </w:r>
      <w:r>
        <w:rPr>
          <w:b/>
          <w:bCs/>
        </w:rPr>
        <w:t>2027年2月4日</w:t>
      </w:r>
      <w:r>
        <w:t>。</w:t>
      </w:r>
    </w:p>
    <w:p w14:paraId="678D7407">
      <w:r>
        <w:rPr>
          <w:b/>
          <w:bCs/>
        </w:rPr>
        <w:t>这次修法的关键技术点，也是最值得你理解的一处</w:t>
      </w:r>
      <w:r>
        <w:t>：修订后的《电子证券法》把"分布式账本（区块链）记录"在法律上正式认定为具有效力的电子证券登记簿。换句话说，以前区块链上的资产登记只是技术上存在，法律不承认它等同于真实所有权；现在这条法律修正案让</w:t>
      </w:r>
      <w:r>
        <w:rPr>
          <w:b/>
          <w:bCs/>
        </w:rPr>
        <w:t>链上记录本身就能代表法定所有权</w:t>
      </w:r>
      <w:r>
        <w:t>，KSD可以作为链上的一个节点参与登记。这一步打通了，后面整个路线图才立得住——不然"上链"就只是个技术展示，跟真正的证券所有权没关系。</w:t>
      </w:r>
    </w:p>
    <w:p w14:paraId="38A91CD1">
      <w:r>
        <w:rPr>
          <w:b/>
          <w:bCs/>
        </w:rPr>
        <w:t>第一批试点资产，选得比较保守</w:t>
      </w:r>
      <w:r>
        <w:t>：私募货币市场基金、私募公司债、以及不动产/知识产权这类分数化投资份额——都是面向机构投资者、风险相对可控的品种，还没碰到普通股这种大众化、高流动性的资产。个人投资者这块，FSC也设了上限（每年通过场外交易所净买入不超过1亿韩元，约7.4万美元）。</w:t>
      </w:r>
    </w:p>
    <w:p w14:paraId="4AC34375">
      <w:r>
        <w:rPr>
          <w:b/>
          <w:bCs/>
        </w:rPr>
        <w:t>Avalanche这条线，要注意一个细节</w:t>
      </w:r>
      <w:r>
        <w:t>：Avalanche官方自己发公告说"韩国资本市场上链，由Avalanche提供动力"，市场上不少报道也跟着这么写，AVAX代币当天涨了8%以上。但</w:t>
      </w:r>
      <w:r>
        <w:rPr>
          <w:b/>
          <w:bCs/>
        </w:rPr>
        <w:t>FSC自己的官方文件从头到尾没有点名任何一条公链</w:t>
      </w:r>
      <w:r>
        <w:t>，KSD的建设合同里也没写。真正拿到KSD官方合同的是三星SDS（Samsung SDS），韩华投资证券（Hanwha）确实在自己开发的平台里用了Avalanche，但那是韩华自己的商业选择，不代表监管层"选定"了Avalanche。这也是为什么原推文里特意提醒"这是一个来源更窄的报道，不是官方定论"——</w:t>
      </w:r>
      <w:r>
        <w:rPr>
          <w:b/>
          <w:bCs/>
        </w:rPr>
        <w:t>政策本身是确定的，但具体用哪条底层公链，现在还是开放的</w:t>
      </w:r>
      <w:r>
        <w:t>，这中间的差别你要分清楚，不然容易把"某个代币涨价的理由"和"监管层真正做的决定"混为一谈。</w:t>
      </w:r>
    </w:p>
    <w:p w14:paraId="3FFFCEEC">
      <w:r>
        <w:rPr>
          <w:b/>
          <w:bCs/>
        </w:rPr>
        <w:t>为什么这条新闻分量重</w:t>
      </w:r>
      <w:r>
        <w:t>：作者说这是"本周最重要的一条"，原因是——在这之前所有的"证券资产上链"项目，全部是试点性质、边缘业务；这次不一样，</w:t>
      </w:r>
      <w:r>
        <w:rPr>
          <w:b/>
          <w:bCs/>
        </w:rPr>
        <w:t>是一国的核心证券登记托管机构亲自把区块链写进了国家法律和生产系统里</w:t>
      </w:r>
      <w:r>
        <w:t>，覆盖发行、交易、清算、结算、权利行使全流程。作为对比，美国那边DTCC（美国的中央清算机构）今年7月也在做代币化证券的有限生产测试，但那是"在现有系统上叠加一层实验"，跟韩国这种"直接把区块链写进法律成为基础设施"的做法，性质不一样。</w:t>
      </w:r>
    </w:p>
    <w:p w14:paraId="53B21165">
      <w:pPr>
        <w:rPr>
          <w:b/>
          <w:bCs/>
        </w:rPr>
      </w:pPr>
      <w:r>
        <w:rPr>
          <w:b/>
          <w:bCs/>
        </w:rPr>
        <w:t>第二部分：M2和比特币"对不上"的谜题</w:t>
      </w:r>
    </w:p>
    <w:p w14:paraId="71522B7A">
      <w:r>
        <w:t>这部分跟韩国那条新闻没有直接关系，是同一篇周报里的另一个独立话题：</w:t>
      </w:r>
    </w:p>
    <w:p w14:paraId="785AD4B6">
      <w:r>
        <w:rPr>
          <w:b/>
          <w:bCs/>
        </w:rPr>
        <w:t>摆出的矛盾</w:t>
      </w:r>
      <w:r>
        <w:t>：美国M2货币供应量（广义货币总量）7月创下23.22万亿美元的历史新高，美股也在历史高位附近，但比特币却比高点低了37%左右。按传统逻辑，"钱印得越多，比特币越该涨"，可现实是钱创新高了，比特币却在跌。</w:t>
      </w:r>
    </w:p>
    <w:p w14:paraId="4F9F51D0">
      <w:r>
        <w:rPr>
          <w:b/>
          <w:bCs/>
        </w:rPr>
        <w:t>分析师Benjamin Cowen给的解释，也是这篇推文特意展开讲的比喻</w:t>
      </w:r>
      <w:r>
        <w:t>：M2是一个"存量"（level），衡量的是这个经济体里累积了多少年的钱，一直在缓慢往上涨，几乎不会跌；但市场真正对价格起作用的，是"流量"（flow）——钱正在往哪个方向流动、流动速度多快。原文举的例子是：两个人账户里都存了100万英镑，一个人是从150万降到100万（钱正在流出），另一个人是从50万涨到100万（钱正在流入）——</w:t>
      </w:r>
      <w:r>
        <w:rPr>
          <w:b/>
          <w:bCs/>
        </w:rPr>
        <w:t>账户余额一样，但市场情绪和资产表现会完全不同</w:t>
      </w:r>
      <w:r>
        <w:t>，因为市场交易的是"流入流出的方向"，不是"账户里躺着多少钱"。</w:t>
      </w:r>
    </w:p>
    <w:p w14:paraId="2E12709B">
      <w:r>
        <w:t>Cowen真正跟踪的指标不是M2，是"全球净流动性"（把美联储、欧洲央行、日本、中国、英国央行的资产负债表加总，再减掉停泊在美联储逆回购工具和美国财政部一般账户里的钱）——这个数字现在大概25万亿美元，比2021-2022年的峰值30万亿美元还差5万亿。</w:t>
      </w:r>
      <w:r>
        <w:rPr>
          <w:b/>
          <w:bCs/>
        </w:rPr>
        <w:t>这5万亿的缺口，才是解释"钱创新高但比特币没创新高"的真正原因</w:t>
      </w:r>
      <w:r>
        <w:t>：账面上钱是历史最多，但真正能流进市场里追逐风险资产的那部分"净流动性"，其实还没恢复到位。</w:t>
      </w:r>
    </w:p>
    <w:p w14:paraId="68716587"/>
    <w:p w14:paraId="77A98862"/>
    <w:p w14:paraId="041BDBCF">
      <w:pPr>
        <w:widowControl/>
      </w:pPr>
      <w:r>
        <w:rPr>
          <w:rFonts w:hint="eastAsia"/>
        </w:rPr>
        <w:t>我把第一次写的那个月报的文章和我刚开始写的进行了分析然后将我以前写的也纳入了分析当中我发现引起AIGC查重率变动有几点：</w:t>
      </w:r>
    </w:p>
    <w:p w14:paraId="4C6AE860">
      <w:pPr>
        <w:widowControl/>
        <w:ind w:firstLine="440"/>
      </w:pPr>
      <w:r>
        <w:rPr>
          <w:rFonts w:hint="eastAsia"/>
        </w:rPr>
        <w:t>1在语句当中普通的转换词或者说结构在小范围内影响不大。</w:t>
      </w:r>
    </w:p>
    <w:p w14:paraId="2698417F">
      <w:pPr>
        <w:widowControl/>
        <w:ind w:firstLine="440"/>
        <w:rPr>
          <w:rFonts w:hint="eastAsia"/>
        </w:rPr>
      </w:pPr>
      <w:r>
        <w:rPr>
          <w:rFonts w:hint="eastAsia"/>
        </w:rPr>
        <w:t>2主要影响的是细节。 也就是说文章当中的细节只要足够的戏足够的清晰然后说话能够用自己的话正确的说出来没有那种高大虚假给人一种听不懂很厉害的感觉那么就说明你写得还不错那么AIGC率不会很高。虽然这一点听起来好像很容易但是有一些素材并不是那么好写那些素材细节并不是很足，你自己写要有来源依据不能随便编细节所以说有时候有些素材并不好写。</w:t>
      </w:r>
      <w:r>
        <w:br w:type="textWrapping"/>
      </w:r>
      <w:r>
        <w:rPr>
          <w:rFonts w:hint="eastAsia"/>
        </w:rPr>
        <w:t xml:space="preserve">    3 AI写作的过程当中会出现一些死板呆板，没有跟人一样拥有十分丰富的联想力和想象力，因为他录入的素材不够多而人这一生经历了很多事情有很多时间去感受，去理解。</w:t>
      </w:r>
    </w:p>
    <w:p w14:paraId="4F6FE00D">
      <w:pPr>
        <w:widowControl/>
        <w:rPr>
          <w:rFonts w:hint="eastAsia"/>
        </w:rPr>
      </w:pPr>
    </w:p>
    <w:p w14:paraId="5AC5EC8E"/>
    <w:p w14:paraId="64817C54"/>
    <w:p w14:paraId="0C37B1B6">
      <w:r>
        <w:rPr>
          <w:rFonts w:hint="eastAsia"/>
        </w:rPr>
        <w:t>1韩国有</w:t>
      </w:r>
      <w:r>
        <w:t>两部法律</w:t>
      </w:r>
      <w:r>
        <w:rPr>
          <w:b/>
          <w:bCs/>
        </w:rPr>
        <w:t>修正案</w:t>
      </w:r>
      <w:r>
        <w:t>是2026年2月</w:t>
      </w:r>
      <w:r>
        <w:rPr>
          <w:b/>
          <w:bCs/>
        </w:rPr>
        <w:t>颁布</w:t>
      </w:r>
      <w:r>
        <w:t>（promulgated），生效日期是2027年2月4日，</w:t>
      </w:r>
      <w:r>
        <w:rPr>
          <w:rFonts w:hint="eastAsia"/>
        </w:rPr>
        <w:t>它们给链上记录一个合法身份。 实施具体范围：</w:t>
      </w:r>
      <w:r>
        <w:t>第一批能上链的资产是私募货币市场基金、私募公司债、还有不动产/知识产权这类份额化投资，都是面向机构投资者、比较保守的品种，普通股这类大众化资产还没进第一批名单。</w:t>
      </w:r>
    </w:p>
    <w:p w14:paraId="49D76A14">
      <w:pPr>
        <w:rPr>
          <w:rFonts w:hint="eastAsia"/>
        </w:rPr>
      </w:pPr>
    </w:p>
    <w:p w14:paraId="2DAFCEB7">
      <w:r>
        <w:rPr>
          <w:rFonts w:hint="eastAsia"/>
          <w:b/>
          <w:bCs/>
        </w:rPr>
        <w:t>2</w:t>
      </w:r>
      <w:r>
        <w:rPr>
          <w:b/>
          <w:bCs/>
        </w:rPr>
        <w:t>Avalanche官方自己发公告说韩国用了它，但FSC（韩国监管机构）的官方文件里从头到尾没有点名任何一条公链</w:t>
      </w:r>
      <w:r>
        <w:t>；实际拿到KSD官方合同的是三星SDS，韩华证券自己选择性地用了Avalanche，这是韩华一家机构的商业决定，不代表监管层选定了它。</w:t>
      </w:r>
      <w:r>
        <w:br w:type="textWrapping"/>
      </w:r>
      <w:r>
        <w:br w:type="textWrapping"/>
      </w:r>
      <w:r>
        <w:rPr>
          <w:rFonts w:hint="eastAsia"/>
        </w:rPr>
        <w:t xml:space="preserve">3 </w:t>
      </w:r>
      <w:r>
        <w:t>M2和比特币"对不上"的谜题</w:t>
      </w:r>
      <w:r>
        <w:rPr>
          <w:rFonts w:hint="eastAsia"/>
        </w:rPr>
        <w:t>：</w:t>
      </w:r>
      <w:r>
        <w:rPr>
          <w:b/>
          <w:bCs/>
        </w:rPr>
        <w:t>M2本身是一个只会缓慢累积、几乎不会下降的"存量"指标，不适合用来预测价格拐点</w:t>
      </w:r>
      <w:r>
        <w:rPr>
          <w:rFonts w:hint="eastAsia"/>
        </w:rPr>
        <w:t>。如果比特币要跟得上那么净流动性必须到位。</w:t>
      </w:r>
    </w:p>
    <w:p w14:paraId="742726D9">
      <w:pPr>
        <w:ind w:firstLine="220" w:firstLineChars="100"/>
        <w:rPr>
          <w:b/>
          <w:bCs/>
        </w:rPr>
      </w:pPr>
      <w:r>
        <w:rPr>
          <w:rFonts w:hint="eastAsia"/>
        </w:rPr>
        <w:t xml:space="preserve"> </w:t>
      </w:r>
      <w:r>
        <w:t>净流动性，指的是</w:t>
      </w:r>
      <w:r>
        <w:rPr>
          <w:b/>
          <w:bCs/>
        </w:rPr>
        <w:t>各国央行资产负债表加总、再减掉停泊在美联储逆回购工具和财政部账户里"死钱"之后，真正能流进市场里追逐风险资产的那部分资金</w:t>
      </w:r>
      <w:r>
        <w:t>。这个指标现在大概25万亿美元，比2021-2022年峰值的30万亿美元还差5万亿</w:t>
      </w:r>
    </w:p>
    <w:p w14:paraId="271CC7DB">
      <w:pPr>
        <w:rPr>
          <w:rFonts w:hint="eastAsia"/>
        </w:rPr>
      </w:pPr>
    </w:p>
    <w:bookmarkEnd w:id="0"/>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B43"/>
    <w:rsid w:val="00022DEF"/>
    <w:rsid w:val="001671E6"/>
    <w:rsid w:val="002103A5"/>
    <w:rsid w:val="002D268E"/>
    <w:rsid w:val="002F2822"/>
    <w:rsid w:val="003B266C"/>
    <w:rsid w:val="00402748"/>
    <w:rsid w:val="00472BAA"/>
    <w:rsid w:val="005B5860"/>
    <w:rsid w:val="00617A35"/>
    <w:rsid w:val="00647915"/>
    <w:rsid w:val="00693F6E"/>
    <w:rsid w:val="006F2A18"/>
    <w:rsid w:val="00764048"/>
    <w:rsid w:val="007726D5"/>
    <w:rsid w:val="00792188"/>
    <w:rsid w:val="007D3F87"/>
    <w:rsid w:val="00831B88"/>
    <w:rsid w:val="00864B43"/>
    <w:rsid w:val="008C2E92"/>
    <w:rsid w:val="00903B5B"/>
    <w:rsid w:val="00A12045"/>
    <w:rsid w:val="00B2068B"/>
    <w:rsid w:val="00B276E3"/>
    <w:rsid w:val="00BE6B7B"/>
    <w:rsid w:val="00CD1BE2"/>
    <w:rsid w:val="00DF1AE5"/>
    <w:rsid w:val="00F4722E"/>
    <w:rsid w:val="00F47D99"/>
    <w:rsid w:val="00FE45D8"/>
    <w:rsid w:val="02B55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qFormat/>
    <w:uiPriority w:val="9"/>
    <w:rPr>
      <w:rFonts w:cstheme="majorBidi"/>
      <w:color w:val="2F5597" w:themeColor="accent1" w:themeShade="BF"/>
      <w:sz w:val="28"/>
      <w:szCs w:val="28"/>
    </w:rPr>
  </w:style>
  <w:style w:type="character" w:customStyle="1" w:styleId="19">
    <w:name w:val="标题 5 字符"/>
    <w:basedOn w:val="14"/>
    <w:link w:val="6"/>
    <w:semiHidden/>
    <w:qFormat/>
    <w:uiPriority w:val="9"/>
    <w:rPr>
      <w:rFonts w:cstheme="majorBidi"/>
      <w:color w:val="2F5597" w:themeColor="accent1" w:themeShade="BF"/>
      <w:sz w:val="24"/>
    </w:rPr>
  </w:style>
  <w:style w:type="character" w:customStyle="1" w:styleId="20">
    <w:name w:val="标题 6 字符"/>
    <w:basedOn w:val="14"/>
    <w:link w:val="7"/>
    <w:semiHidden/>
    <w:uiPriority w:val="9"/>
    <w:rPr>
      <w:rFonts w:cstheme="majorBidi"/>
      <w:b/>
      <w:bCs/>
      <w:color w:val="2F5597"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qFormat/>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2362</Words>
  <Characters>2563</Characters>
  <Lines>77</Lines>
  <Paragraphs>3</Paragraphs>
  <TotalTime>165</TotalTime>
  <ScaleCrop>false</ScaleCrop>
  <LinksUpToDate>false</LinksUpToDate>
  <CharactersWithSpaces>2575</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2026-09-13T08:14:00Z</dcterms:created>
  <dc:creator>青青 吴</dc:creator>
  <cp:lastModifiedBy>孤辟</cp:lastModifiedBy>
  <dcterms:modified xsi:type="dcterms:W3CDTF">2026-09-13T11:28:18Z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eyJoZGlkIjoiYTMyODQyMGRmZjNiN2VjMGQyNGJjYzFhNzNhZGQwZjkiLCJ1c2VySWQiOiI4NDIyNzExNjIifQ==</vt:lpwstr>
  </property>
  <property fmtid="{D5CDD505-2E9C-101B-9397-08002B2CF9AE}" pid="3" name="KSOProductBuildVer">
    <vt:lpwstr>2052-12.1.0.22175</vt:lpwstr>
  </property>
  <property fmtid="{D5CDD505-2E9C-101B-9397-08002B2CF9AE}" pid="4" name="ICV">
    <vt:lpwstr>CD327DF4A7BA462BB0B9CF63088642D4_12</vt:lpwstr>
  </property>
</Properties>
</file>