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Mouse MSN Morphology Taxonomy Methods</w:t>
      </w:r>
    </w:p>
    <w:p>
      <w:pPr>
        <w:jc w:val="left"/>
      </w:pPr>
      <w:r>
        <w:rPr>
          <w:b/>
          <w:sz w:val="22"/>
        </w:rPr>
        <w:t>Frozen release 23 September 2026</w:t>
      </w:r>
    </w:p>
    <w:p>
      <w:r>
        <w:t>This document defines the reproducible analytical workflow for the frozen four-class morphology taxonomy and its transcriptomic and machine-learning validation. The authoritative sample scopes are 187 cells for the complete M taxonomy, 181 cells for HC-GC morphology consensus, and 168 cells for strict D1/D2 T-M reduced-rank regression.</w:t>
      </w:r>
    </w:p>
    <w:p>
      <w:pPr>
        <w:pStyle w:val="Heading1"/>
      </w:pPr>
      <w:r>
        <w:t>Frozen analysis at a glance</w:t>
      </w:r>
    </w:p>
    <w:tbl>
      <w:tblPr>
        <w:tblW w:type="auto" w:w="0"/>
        <w:tblLayout w:type="fixed"/>
        <w:tblLook w:firstColumn="1" w:firstRow="1" w:lastColumn="0" w:lastRow="0" w:noHBand="0" w:noVBand="1" w:val="04A0"/>
      </w:tblPr>
      <w:tblGrid>
        <w:gridCol w:w="3240"/>
        <w:gridCol w:w="6840"/>
      </w:tblGrid>
      <w:tr>
        <w:tc>
          <w:tcPr>
            <w:tcW w:type="dxa" w:w="489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Element</w:t>
            </w:r>
          </w:p>
        </w:tc>
        <w:tc>
          <w:tcPr>
            <w:tcW w:type="dxa" w:w="489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Frozen specification</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Primary morphology cohort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r>
              <w:t>187 cells; M1=67, M2=23, M3=62, M4=35</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Frozen features</w:t>
            </w:r>
          </w:p>
        </w:tc>
        <w:tc>
          <w:tcPr>
            <w:tcW w:type="dxa" w:w="68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10 de-redundant soma and dendritic measurements</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Primary taxonomy</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r>
              <w:t>PC1-PC3; Euclidean Ward.D2; HC K=4</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Independent graph comparison</w:t>
            </w:r>
          </w:p>
        </w:tc>
        <w:tc>
          <w:tcPr>
            <w:tcW w:type="dxa" w:w="68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Seurat SNN/Louvain; resolution 0.50</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HC-GC consensus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r>
              <w:t>181/187 cells (96.79%)</w:t>
            </w:r>
          </w:p>
        </w:tc>
      </w:tr>
      <w:tr>
        <w:tc>
          <w:tcPr>
            <w:tcW w:type="dxa" w:w="32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Strict T-M RRR cohort</w:t>
            </w:r>
          </w:p>
        </w:tc>
        <w:tc>
          <w:tcPr>
            <w:tcW w:type="dxa" w:w="6840"/>
            <w:shd w:fill="EAF2F8"/>
            <w:vAlign w:val="center"/>
            <w:tcBorders>
              <w:top w:val="single" w:sz="4" w:color="D9D9D9"/>
              <w:left w:val="single" w:sz="4" w:color="D9D9D9"/>
              <w:bottom w:val="single" w:sz="4" w:color="D9D9D9"/>
              <w:right w:val="single" w:sz="4" w:color="D9D9D9"/>
              <w:insideH w:val="single" w:sz="4" w:color="D9D9D9"/>
              <w:insideV w:val="single" w:sz="4" w:color="D9D9D9"/>
            </w:tcBorders>
          </w:tcPr>
          <w:p>
            <w:r>
              <w:t>168 cells; D1=74, D2=94; rank=3</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Grouped ML</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r>
              <w:t>Recording date as animal proxy; 500 resamples/permutations</w:t>
            </w:r>
          </w:p>
        </w:tc>
      </w:tr>
    </w:tbl>
    <w:p>
      <w:pPr>
        <w:pStyle w:val="Heading1"/>
      </w:pPr>
      <w:r>
        <w:t>Cohort definition and morphology quality control</w:t>
      </w:r>
    </w:p>
    <w:p>
      <w:r>
        <w:t>The primary morphology analysis comprised 187 mouse nucleus accumbens medium spiny neurons with complete measurements for the ten frozen morphology features. This cohort was derived from a 193-cell morphology set after six cells were placed in a reversible morphology-only quarantine following inspection of PC1-PC3 outliers and their raw reconstructions. The quarantined cells were D251161_Batch8, A20256247_Batch7, A20257158_Batch7, A2025797_Batch7, A20256245_Batch7 and O9192_Batch2. Their exclusion did not alter the global electrophysiological or transcriptomic eligibility tables.</w:t>
      </w:r>
    </w:p>
    <w:p>
      <w:r>
        <w:t>Raw reconstruction files were linked to cells by a year-aware filename audit. The expected year was inferred from the morphology identifier and checked against file creation or modification metadata; when same-date filenames occurred in both 2024 and 2025, year compatibility and agreement with the tabulated total neurite length were used to resolve the match. The frozen audit reported year-aware matches for 183 of 187 cells and successful NeuroM geometry recomputation for 182 of 187 cells. Because the external ASC volume was not mounted when this release was assembled, the archive contains the complete mapping and recomputation audits but not the ASC files themselves.</w:t>
      </w:r>
    </w:p>
    <w:p>
      <w:pPr>
        <w:pStyle w:val="Heading1"/>
      </w:pPr>
      <w:r>
        <w:t>Frozen morphology features and preprocessing</w:t>
      </w:r>
    </w:p>
    <w:p>
      <w:r>
        <w:t>The analysis used ten non-redundant morphology features: soma circularity index, soma aspect ratio, maximum radial distance, number of primary neurites, mean basal-dendrite tortuosity, total neurite length, number of bifurcation points, maximum branch order, minimum trunk angle and maximum trunk angle. Features were selected after redundancy, skewness and unit-continuity audits. Total neurite area and volume were excluded from the primary feature panel because raw-radius calibration differed across acquisition batches; total neurite length was retained because its NeuroM recomputation was effectively identical to the historical value.</w:t>
      </w:r>
    </w:p>
    <w:p>
      <w:r>
        <w:t>For each feature, the minimum observed value in the analysis set was subtracted and negative values were truncated at zero. Each shifted feature column was divided by its column sum and multiplied by 10,000, transformed with log(1+x), and standardized to zero mean and unit sample standard deviation. Principal component analysis was then applied to the ten-feature standardized matrix. The primary clustering used PCs 1-3. In held-out or resampling analyses, every transformation and PCA model was re-estimated using only the corresponding training or resampled cells and then applied to held-out cells, preventing information leakage.</w:t>
      </w:r>
    </w:p>
    <w:p>
      <w:pPr>
        <w:pStyle w:val="Heading1"/>
      </w:pPr>
      <w:r>
        <w:t>Hierarchical and graph clustering</w:t>
      </w:r>
    </w:p>
    <w:p>
      <w:r>
        <w:t>Hierarchical clustering was performed in the PC1-PC3 space using Euclidean distances and Ward.D2 linkage. The dendrogram was cut at K=4, yielding the HC-derived M1-M4 labels used as the complete 187-cell taxonomy (M1, n=67; M2, n=23; M3, n=62; M4, n=35).</w:t>
      </w:r>
    </w:p>
    <w:p>
      <w:r>
        <w:t>Graph clustering was performed independently in the same PC1-PC3 space. A shared-nearest-neighbour graph was constructed with k=20 and pruning threshold 1/15. Louvain clustering (Seurat algorithm 1; 30 starts; 30 iterations; random seed 20260825) was run across resolutions 0.50-3.00. Resolution 0.50 produced four graph clusters and was selected for the frozen comparison. Graph labels were matched to HC labels by maximum overlap. HC and graph clustering agreed for 181 of 187 cells (96.79%). The term HC-GC consensus therefore refers only to these 181 cells; the 187-cell M taxonomy retains the HC-derived label for all included cells.</w:t>
      </w:r>
    </w:p>
    <w:p>
      <w:pPr>
        <w:pStyle w:val="Heading1"/>
      </w:pPr>
      <w:r>
        <w:t>Embedding heat map reconstructions and feature comparisons</w:t>
      </w:r>
    </w:p>
    <w:p>
      <w:r>
        <w:t>For visualization, t-distributed stochastic neighbour embedding was computed once from PCs 1-3 of the frozen 187-cell matrix using perplexity 25, learning rate 50, 3,000 iterations, PCA initialization, the Barnes-Hut algorithm with angle 0, random seed 20260826. The coordinates were reused for all class and feature overlays. Class contours are descriptive convex-hull guides after robust median and median-absolute-deviation trimming and do not represent confidence intervals or classifier decision boundaries.</w:t>
      </w:r>
    </w:p>
    <w:p>
      <w:r>
        <w:t>The morphology heat map displays feature-wise standardized values ordered by final M class. Representative reconstructions were selected by distance to the class centroid in the frozen morphology space and rendered on common canvases with a common scale bar. For raw-value comparisons, all cells were displayed as horizontally jittered points with unfilled box plots showing the median, interquartile range and 1.5-times-interquartile-range whiskers. Each feature was tested across M1-M4 with a two-sided Kruskal-Wallis test and Benjamini-Hochberg correction across the ten features. Pairwise two-sided Mann-Whitney U tests were performed for significant omnibus results, with Benjamini-Hochberg correction within feature. Transformed Z-scores were used only for the fixed t-SNE overlays and heat map; statistical tests used the raw feature values.</w:t>
      </w:r>
    </w:p>
    <w:p>
      <w:pPr>
        <w:pStyle w:val="Heading1"/>
      </w:pPr>
      <w:r>
        <w:t>Bootstrap and machine learning validation</w:t>
      </w:r>
    </w:p>
    <w:p>
      <w:r>
        <w:t>Cell-wise cluster recovery was assessed by repeatedly sampling 80% of the 187 cells without replacement, refitting the complete transformation, three-component PCA and Ward.D2 K=4 clustering, and matching resampled clusters to the frozen M labels by maximum overlap. Pairwise co-clustering probabilities were calculated only in replicates containing both cells. The archived primary stability matrix contains 500 replicates; a 1,000-replicate sensitivity analysis is also retained.</w:t>
      </w:r>
    </w:p>
    <w:p>
      <w:r>
        <w:t>The full machine learning validation used the same ten features and the HC-derived M1-M4 labels. Because animal identifiers were unavailable and one mouse was used per experimental day, recording date was used as a conservative animal proxy; cells recorded on the same date were never divided between training and test sets. The Macaque-matched validation performed 500 grouped resamples and compared multinomial logistic regression, linear and radial-basis-function support vector machines, k-nearest neighbours, random forest, extra trees and histogram gradient boosting. The shift-sum-10,000-log1p-Z transformation and three-component PCA were fitted within each training split. The best supervised model was the radial-basis-function support vector machine, with median held-out balanced accuracy 0.965 (95% interval, 0.873-1.000) and median macro-F1 0.957 (95% interval, 0.861-1.000). A 500-permutation label test gave empirical P=0.002. These analyses quantify internal recoverability and stability, not independent biological validation, because the labels and predictors derive from the same morphology measurements.</w:t>
      </w:r>
    </w:p>
    <w:p>
      <w:pPr>
        <w:pStyle w:val="Heading1"/>
      </w:pPr>
      <w:r>
        <w:t>Strict D1 and D2 transcriptomic identity</w:t>
      </w:r>
    </w:p>
    <w:p>
      <w:r>
        <w:t>Strict D1/D2 identity required a stable D1 or D2 call and agreement of both the reference-projection classifier and Pearson-correlation classifier. The T-M analysis additionally required HC-GC morphology consensus. This yielded 168 cells (D1, n=74; D2, n=94). Cells failing any component of this definition were excluded from T-M reduced-rank regression rather than being assigned to an ambiguous D1/D2 category. The broader D1_D2 field in the 187-cell morphology table is retained for descriptive legacy plots but is not the strict RRR inclusion variable.</w:t>
      </w:r>
    </w:p>
    <w:p>
      <w:pPr>
        <w:pStyle w:val="Heading1"/>
      </w:pPr>
      <w:r>
        <w:t>Transcriptomic morphological reduced rank regression</w:t>
      </w:r>
    </w:p>
    <w:p>
      <w:r>
        <w:t>T-M reduced-rank regression was refitted from scratch in the 168 cells with strict RPCA-Pearson-concordant D1/D2 identity and HC-GC morphology consensus. Starting from the label-blind 2,000-highly-variable-gene matrix, genes were re-ranked by variance within the strict cohort and the top 1,000 were retained. Each gene was standardized across cells, and transcriptomic variation was summarized by 20 principal components. The response matrix comprised the ten frozen morphology features transformed by the same minimum-shift, column-sum-10,000, log1p and Z-score procedure within the strict cohort.</w:t>
      </w:r>
    </w:p>
    <w:p>
      <w:r>
        <w:t>Ordinary multivariate regression coefficients from transcriptomic PCs to morphology were reduced to rank 3 by singular-value decomposition of the fitted response matrix. Component signs were oriented using the morphology feature with the largest absolute loading. Transcriptomic and morphology cell scores were projected into the resulting shared axes, and displayed feature or gene vectors are correlations with the shared component scores. RRR component signs and ordering are model-specific and should not be interpreted as directly equivalent to independently fitted T-E RRR axes.</w:t>
      </w:r>
    </w:p>
    <w:p>
      <w:pPr>
        <w:pStyle w:val="Heading1"/>
      </w:pPr>
      <w:r>
        <w:t>Reproducibility and data availability</w:t>
      </w:r>
    </w:p>
    <w:p>
      <w:r>
        <w:t>The frozen analysis is defined by the 187-cell raw ten-feature table, the preprocessing rule, PC1-PC3, Euclidean Ward.D2 hierarchical clustering at K=4, and Seurat graph clustering at resolution 0.50. The archive includes the source tables, assignments, PCA outputs, graph-clustering scan, bootstrap matrices, full 500-repeat machine learning output, strict T-M RRR inputs and outputs, scripts, interactive web assets, user-saved layouts, figure source files, a SHA-256 manifest and a conflict audit.</w:t>
      </w:r>
    </w:p>
    <w:p>
      <w:r>
        <w:t>Three sample-size scopes must remain distinct: n=187 for the complete morphology taxonomy, n=181 for HC-GC morphology consensus, and n=168 for strict D1/D2 plus HC-GC consensus T-M RRR. The actual ASC reconstructions reside on an external drive and are not embedded in this archive; the archive supplies the frozen cell-to-file mapping, availability list and NeuroM recomputation audit so that the original reconstructions can be inserted without changing analytical identifiers.</w:t>
      </w:r>
    </w:p>
    <w:p>
      <w:pPr>
        <w:pStyle w:val="Heading1"/>
      </w:pPr>
      <w:r>
        <w:t>Audit conclusion</w:t>
      </w:r>
    </w:p>
    <w:p>
      <w:r>
        <w:t>The frozen raw, final and interactive data tables contain identical 187-cell identifier sets. Raw-to-final and final-to-interactive values for all ten features are exact (maximum absolute difference 0 and 0, respectively). Recomputed PCA scores agree with the stored solution up to component sign (maximum absolute difference 4e-14), and Ward.D2 K=4 reproduces all 187 labels with ARI=1.000. The only material semantic conflict is the coexistence of a broader 180-cell D1/D2 descriptive table and the strict 168-cell RPCA-Pearson cohort; the strict table is authoritative for T-M RRR.</w:t>
      </w:r>
    </w:p>
    <w:p>
      <w:r>
        <w:t>Raw ASC files were unavailable because neither external ASC volume was mounted during packaging. This is a packaging limitation, not an analytical mismatch; the filename mapping, year audit, geometry recomputation results and a cell-level acquisition checklist are included.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4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