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B7F64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项目管理系统 PRD（功能需求篇）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BC72E0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EF51E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41681371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一、文档概述</w:t>
      </w:r>
      <w:bookmarkEnd w:id="0"/>
    </w:p>
    <w:p w14:paraId="4C3665D0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背景</w:t>
      </w:r>
      <w:bookmarkEnd w:id="1"/>
    </w:p>
    <w:p w14:paraId="0916CA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随着团队规模扩大与项目复杂度提升，传统的 Excel + 即时通讯方式已难以满足项目全生命周期的管理需求。各团队在项目推进过程中普遍面临进度不透明、需求变更难追溯、缺陷闭环慢、跨部门协作效率低等痛点。</w:t>
      </w:r>
    </w:p>
    <w:p w14:paraId="4A4B95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本项目管理系统旨在打造一款</w:t>
      </w:r>
      <w:r>
        <w:rPr>
          <w:rFonts w:ascii="Arial" w:hAnsi="Arial" w:eastAsia="等线" w:cs="Arial"/>
          <w:b/>
          <w:sz w:val="22"/>
        </w:rPr>
        <w:t>轻量、好用、刚需</w:t>
      </w:r>
      <w:r>
        <w:rPr>
          <w:rFonts w:ascii="Arial" w:hAnsi="Arial" w:eastAsia="等线" w:cs="Arial"/>
          <w:sz w:val="22"/>
        </w:rPr>
        <w:t>的项目协同工具，覆盖从计划制定、需求拆解、任务执行到缺陷闭环的全生命周期流程，帮助团队实时掌握项目状态、降低沟通成本、提升交付质量。</w:t>
      </w:r>
    </w:p>
    <w:p w14:paraId="6012B686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目标</w:t>
      </w:r>
      <w:bookmarkEnd w:id="2"/>
    </w:p>
    <w:p w14:paraId="7C1BF79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信息透明</w:t>
      </w:r>
      <w:r>
        <w:rPr>
          <w:rFonts w:ascii="Arial" w:hAnsi="Arial" w:eastAsia="等线" w:cs="Arial"/>
          <w:sz w:val="22"/>
        </w:rPr>
        <w:t>：项目整体情况数据化、可视化，关键指标一目了然。</w:t>
      </w:r>
    </w:p>
    <w:p w14:paraId="519DE99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流程闭环</w:t>
      </w:r>
      <w:r>
        <w:rPr>
          <w:rFonts w:ascii="Arial" w:hAnsi="Arial" w:eastAsia="等线" w:cs="Arial"/>
          <w:sz w:val="22"/>
        </w:rPr>
        <w:t>：需求→计划→任务→缺陷全链路可追溯，状态自动流转。</w:t>
      </w:r>
    </w:p>
    <w:p w14:paraId="2B1C347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轻量高效</w:t>
      </w:r>
      <w:r>
        <w:rPr>
          <w:rFonts w:ascii="Arial" w:hAnsi="Arial" w:eastAsia="等线" w:cs="Arial"/>
          <w:sz w:val="22"/>
        </w:rPr>
        <w:t>：核心功能聚焦刚需，操作路径短，降低使用门槛。</w:t>
      </w:r>
    </w:p>
    <w:p w14:paraId="42800736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灵活可配</w:t>
      </w:r>
      <w:r>
        <w:rPr>
          <w:rFonts w:ascii="Arial" w:hAnsi="Arial" w:eastAsia="等线" w:cs="Arial"/>
          <w:sz w:val="22"/>
        </w:rPr>
        <w:t>：提供可复用模板，支持按需定制，适配不同团队与项目类型。</w:t>
      </w:r>
    </w:p>
    <w:p w14:paraId="1E651D71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设计原则</w:t>
      </w:r>
      <w:bookmarkEnd w:id="3"/>
    </w:p>
    <w:tbl>
      <w:tblPr>
        <w:tblStyle w:val="2"/>
        <w:tblW w:w="0" w:type="auto"/>
        <w:tblInd w:w="0" w:type="dxa"/>
        <w:tblBorders>
          <w:top w:val="single" w:color="82A7FC" w:sz="0" w:space="0"/>
          <w:left w:val="single" w:color="82A7FC" w:sz="0" w:space="0"/>
          <w:bottom w:val="single" w:color="82A7FC" w:sz="0" w:space="0"/>
          <w:right w:val="single" w:color="82A7FC" w:sz="0" w:space="0"/>
          <w:insideH w:val="single" w:color="82A7FC" w:sz="0" w:space="0"/>
          <w:insideV w:val="single" w:color="82A7FC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66D2A00">
        <w:tblPrEx>
          <w:tblBorders>
            <w:top w:val="single" w:color="82A7FC" w:sz="0" w:space="0"/>
            <w:left w:val="single" w:color="82A7FC" w:sz="0" w:space="0"/>
            <w:bottom w:val="single" w:color="82A7FC" w:sz="0" w:space="0"/>
            <w:right w:val="single" w:color="82A7FC" w:sz="0" w:space="0"/>
            <w:insideH w:val="single" w:color="82A7FC" w:sz="0" w:space="0"/>
            <w:insideV w:val="single" w:color="82A7F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875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轻量</w:t>
            </w:r>
            <w:r>
              <w:rPr>
                <w:rFonts w:ascii="Arial" w:hAnsi="Arial" w:eastAsia="等线" w:cs="Arial"/>
                <w:sz w:val="22"/>
              </w:rPr>
              <w:t>：功能聚焦核心场景，避免冗余；界面简洁，操作不超过 3 步到达目标。</w:t>
            </w:r>
          </w:p>
          <w:p w14:paraId="324358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好用</w:t>
            </w:r>
            <w:r>
              <w:rPr>
                <w:rFonts w:ascii="Arial" w:hAnsi="Arial" w:eastAsia="等线" w:cs="Arial"/>
                <w:sz w:val="22"/>
              </w:rPr>
              <w:t>：符合用户直觉，减少学习成本；关键信息前置，常用操作一键可达。</w:t>
            </w:r>
          </w:p>
          <w:p w14:paraId="1041E1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刚需</w:t>
            </w:r>
            <w:r>
              <w:rPr>
                <w:rFonts w:ascii="Arial" w:hAnsi="Arial" w:eastAsia="等线" w:cs="Arial"/>
                <w:sz w:val="22"/>
              </w:rPr>
              <w:t>：优先解决高频痛点，不做"大而全"，每个功能都有明确的使用场景。</w:t>
            </w:r>
          </w:p>
          <w:p w14:paraId="484B7F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全生命周期流程</w:t>
            </w:r>
            <w:r>
              <w:rPr>
                <w:rFonts w:ascii="Arial" w:hAnsi="Arial" w:eastAsia="等线" w:cs="Arial"/>
                <w:sz w:val="22"/>
              </w:rPr>
              <w:t>：从项目启动到收尾，覆盖计划、执行、监控、收尾各阶段。</w:t>
            </w:r>
          </w:p>
        </w:tc>
      </w:tr>
    </w:tbl>
    <w:p w14:paraId="57279EB2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1.4 目标用户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5"/>
        <w:gridCol w:w="2670"/>
        <w:gridCol w:w="4005"/>
      </w:tblGrid>
      <w:tr w14:paraId="7AD16B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98B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用户角色</w:t>
            </w:r>
          </w:p>
        </w:tc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219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典型场景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69F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核心诉求</w:t>
            </w:r>
          </w:p>
        </w:tc>
      </w:tr>
      <w:tr w14:paraId="5885D3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1CC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06A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制定计划、跟踪进度、风险管控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0AC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全局视图、进度预警、资源协调</w:t>
            </w:r>
          </w:p>
        </w:tc>
      </w:tr>
      <w:tr w14:paraId="7AE3E3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0E3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产品经理</w:t>
            </w:r>
          </w:p>
        </w:tc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388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需求管理、版本规划、优先级排序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6AB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需求池管理、变更追溯、排期对齐</w:t>
            </w:r>
          </w:p>
        </w:tc>
      </w:tr>
      <w:tr w14:paraId="416068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33A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研发工程师</w:t>
            </w:r>
          </w:p>
        </w:tc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6D7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任务领取、开发执行、缺陷修复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4F6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任务清晰、状态更新便捷、提醒及时</w:t>
            </w:r>
          </w:p>
        </w:tc>
      </w:tr>
      <w:tr w14:paraId="335BDD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B12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测试工程师</w:t>
            </w:r>
          </w:p>
        </w:tc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114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提交缺陷、验证修复、测试管理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1A2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缺陷快速录入、流转顺畅、闭环可查</w:t>
            </w:r>
          </w:p>
        </w:tc>
      </w:tr>
      <w:tr w14:paraId="4FC9AE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80D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部门负责人</w:t>
            </w:r>
          </w:p>
        </w:tc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4AC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项目概览、资源分配、决策支持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21A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多项目汇总、健康度评估、数据报表</w:t>
            </w:r>
          </w:p>
        </w:tc>
      </w:tr>
    </w:tbl>
    <w:p w14:paraId="0CF6DCEC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二、功能架构总览</w:t>
      </w:r>
      <w:bookmarkEnd w:id="5"/>
    </w:p>
    <w:p w14:paraId="4844FD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系统围绕"项目全生命周期"构建，核心功能分为五大模块，并辅以通用能力与模板体系支撑灵活扩展。</w:t>
      </w:r>
    </w:p>
    <w:p w14:paraId="4D92865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38150"/>
            <wp:effectExtent l="0" t="0" r="0" b="635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7A40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三、核心功能模块</w:t>
      </w:r>
      <w:bookmarkEnd w:id="6"/>
    </w:p>
    <w:p w14:paraId="1E225B2A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3.1 仪表盘</w:t>
      </w:r>
      <w:bookmarkEnd w:id="7"/>
    </w:p>
    <w:p w14:paraId="0EFF82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仪表盘是项目信息的统一入口，为不同角色提供个性化的数据视图，实现"打开即知全局"。</w:t>
      </w:r>
    </w:p>
    <w:p w14:paraId="003221C6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3.1.1 项目数据汇总</w:t>
      </w:r>
      <w:bookmarkEnd w:id="8"/>
    </w:p>
    <w:p w14:paraId="013C57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：将项目核心指标以卡片形式集中展示，支持单项目与多项目两种视图切换。</w:t>
      </w:r>
    </w:p>
    <w:p w14:paraId="5A8A6C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核心指标卡片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3450"/>
        <w:gridCol w:w="2760"/>
      </w:tblGrid>
      <w:tr w14:paraId="6A0F98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1B0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指标名称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FC8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19C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计算规则</w:t>
            </w:r>
          </w:p>
        </w:tc>
      </w:tr>
      <w:tr w14:paraId="22E917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A5B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项目总数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5DE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当前用户可见的全部项目数量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45A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按权限范围统计</w:t>
            </w:r>
          </w:p>
        </w:tc>
      </w:tr>
      <w:tr w14:paraId="1CBE2E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245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进行中项目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420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状态为"进行中"的项目数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529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 = 进行中</w:t>
            </w:r>
          </w:p>
        </w:tc>
      </w:tr>
      <w:tr w14:paraId="121B6B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584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任务完成率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904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已完成任务占总任务的比例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CD2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已完成任务数 / 总任务数 × 100%</w:t>
            </w:r>
          </w:p>
        </w:tc>
      </w:tr>
      <w:tr w14:paraId="262CB5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053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延期任务数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EA0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超过截止日期仍未完成的任务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4BE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截止日期 &lt; 当前日期 且 状态 ≠ 已完成</w:t>
            </w:r>
          </w:p>
        </w:tc>
      </w:tr>
      <w:tr w14:paraId="6F0185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20F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需求待评审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32D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处于"待评审"状态的需求数量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08D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 = 待评审</w:t>
            </w:r>
          </w:p>
        </w:tc>
      </w:tr>
      <w:tr w14:paraId="17151A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8A5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未关闭缺陷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FB3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尚未修复验证的缺陷总数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DC7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 ≠ 已关闭</w:t>
            </w:r>
          </w:p>
        </w:tc>
      </w:tr>
    </w:tbl>
    <w:p w14:paraId="513F75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交互说明</w:t>
      </w:r>
      <w:r>
        <w:rPr>
          <w:rFonts w:ascii="Arial" w:hAnsi="Arial" w:eastAsia="等线" w:cs="Arial"/>
          <w:sz w:val="22"/>
        </w:rPr>
        <w:t>：点击指标卡片可跳转至对应模块的筛选列表页，实现"看数→钻取→处理"的闭环。</w:t>
      </w:r>
    </w:p>
    <w:p w14:paraId="7056D7AF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3.1.2 执行进度概览</w:t>
      </w:r>
      <w:bookmarkEnd w:id="9"/>
    </w:p>
    <w:p w14:paraId="031211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：以进度条和环形图展示项目整体执行进度，支持按项目、按阶段、按成员多维度查看。</w:t>
      </w:r>
    </w:p>
    <w:p w14:paraId="0499D02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项目进度条</w:t>
      </w:r>
      <w:r>
        <w:rPr>
          <w:rFonts w:ascii="Arial" w:hAnsi="Arial" w:eastAsia="等线" w:cs="Arial"/>
          <w:sz w:val="22"/>
        </w:rPr>
        <w:t>：每个项目一行，显示项目名称、负责人、起止日期、完成百分比，颜色区分正常（绿）、预警（黄）、延期（红）。</w:t>
      </w:r>
    </w:p>
    <w:p w14:paraId="19561A5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阶段进度环</w:t>
      </w:r>
      <w:r>
        <w:rPr>
          <w:rFonts w:ascii="Arial" w:hAnsi="Arial" w:eastAsia="等线" w:cs="Arial"/>
          <w:sz w:val="22"/>
        </w:rPr>
        <w:t>：将项目划分为需求、设计、开发、测试、上线等阶段，每个阶段独立展示完成度。</w:t>
      </w:r>
    </w:p>
    <w:p w14:paraId="490900D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成员负载条</w:t>
      </w:r>
      <w:r>
        <w:rPr>
          <w:rFonts w:ascii="Arial" w:hAnsi="Arial" w:eastAsia="等线" w:cs="Arial"/>
          <w:sz w:val="22"/>
        </w:rPr>
        <w:t>：展示团队成员当前任务数量与工时占比，识别资源瓶颈。</w:t>
      </w:r>
    </w:p>
    <w:p w14:paraId="349A48AB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3.1.3 风险与预警</w:t>
      </w:r>
      <w:bookmarkEnd w:id="10"/>
    </w:p>
    <w:p w14:paraId="1EBC54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：自动识别项目中的风险项，集中展示在仪表盘顶部，提醒相关人员及时处理。</w:t>
      </w:r>
    </w:p>
    <w:tbl>
      <w:tblPr>
        <w:tblStyle w:val="2"/>
        <w:tblW w:w="0" w:type="auto"/>
        <w:tblInd w:w="0" w:type="dxa"/>
        <w:tblBorders>
          <w:top w:val="single" w:color="FFF258" w:sz="0" w:space="0"/>
          <w:left w:val="single" w:color="FFF258" w:sz="0" w:space="0"/>
          <w:bottom w:val="single" w:color="FFF258" w:sz="0" w:space="0"/>
          <w:right w:val="single" w:color="FFF258" w:sz="0" w:space="0"/>
          <w:insideH w:val="single" w:color="FFF258" w:sz="0" w:space="0"/>
          <w:insideV w:val="single" w:color="FFF258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938851F">
        <w:tblPrEx>
          <w:tblBorders>
            <w:top w:val="single" w:color="FFF258" w:sz="0" w:space="0"/>
            <w:left w:val="single" w:color="FFF258" w:sz="0" w:space="0"/>
            <w:bottom w:val="single" w:color="FFF258" w:sz="0" w:space="0"/>
            <w:right w:val="single" w:color="FFF258" w:sz="0" w:space="0"/>
            <w:insideH w:val="single" w:color="FFF258" w:sz="0" w:space="0"/>
            <w:insideV w:val="single" w:color="FFF258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EFFF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047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预警规则</w:t>
            </w:r>
            <w:r>
              <w:rPr>
                <w:rFonts w:ascii="Arial" w:hAnsi="Arial" w:eastAsia="等线" w:cs="Arial"/>
                <w:sz w:val="22"/>
              </w:rPr>
              <w:t>：任务延期、里程碑临近、需求变更频繁、缺陷积压超阈值、成员负载过高。</w:t>
            </w:r>
          </w:p>
        </w:tc>
      </w:tr>
    </w:tbl>
    <w:p w14:paraId="746F56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预警项按严重程度排序，支持一键指派处理人，并记录处理状态与时间。</w:t>
      </w:r>
    </w:p>
    <w:p w14:paraId="70140D39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3.1.4 我的待办</w:t>
      </w:r>
      <w:bookmarkEnd w:id="11"/>
    </w:p>
    <w:p w14:paraId="53D72B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：聚合当前用户需要处理的所有事项，包括待审核任务、待修复缺陷、待评审需求、待确认变更等，按优先级与截止时间排序。</w:t>
      </w:r>
    </w:p>
    <w:p w14:paraId="6234AE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支持快速操作：直接在待办列表中更新状态、添加评论、上传附件，无需跳转详情页。</w:t>
      </w:r>
    </w:p>
    <w:p w14:paraId="6CC83943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3.2 甘特图</w:t>
      </w:r>
      <w:bookmarkEnd w:id="12"/>
    </w:p>
    <w:p w14:paraId="564298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甘特图模块以时间轴形式可视化项目计划与进度，是项目排期与进度跟踪的核心工具。</w:t>
      </w:r>
    </w:p>
    <w:p w14:paraId="12892AE8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3.2.1 时间轴视图</w:t>
      </w:r>
      <w:bookmarkEnd w:id="13"/>
    </w:p>
    <w:p w14:paraId="302EC8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：以横向时间轴 + 纵向任务列表的形式展示项目计划，支持日、周、月三种粒度切换。</w:t>
      </w:r>
    </w:p>
    <w:p w14:paraId="2F11575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任务条</w:t>
      </w:r>
      <w:r>
        <w:rPr>
          <w:rFonts w:ascii="Arial" w:hAnsi="Arial" w:eastAsia="等线" w:cs="Arial"/>
          <w:sz w:val="22"/>
        </w:rPr>
        <w:t>：每个任务对应一条横向条，长度表示工期，位置表示起止时间，颜色表示任务状态或优先级。</w:t>
      </w:r>
    </w:p>
    <w:p w14:paraId="482C56E2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里程碑</w:t>
      </w:r>
      <w:r>
        <w:rPr>
          <w:rFonts w:ascii="Arial" w:hAnsi="Arial" w:eastAsia="等线" w:cs="Arial"/>
          <w:sz w:val="22"/>
        </w:rPr>
        <w:t>：以菱形标记关键节点（如需求冻结、提测、上线），悬停显示里程碑详情。</w:t>
      </w:r>
    </w:p>
    <w:p w14:paraId="7D8366FA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今日线</w:t>
      </w:r>
      <w:r>
        <w:rPr>
          <w:rFonts w:ascii="Arial" w:hAnsi="Arial" w:eastAsia="等线" w:cs="Arial"/>
          <w:sz w:val="22"/>
        </w:rPr>
        <w:t>：红色竖线标记当前日期，直观对比计划与实际进度。</w:t>
      </w:r>
    </w:p>
    <w:p w14:paraId="049AAD32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3.2.2 任务依赖与关联</w:t>
      </w:r>
      <w:bookmarkEnd w:id="14"/>
    </w:p>
    <w:p w14:paraId="69AE6B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：支持任务间建立依赖关系（完成-开始、开始-开始、完成-完成、开始-完成），依赖线自动绘制。</w:t>
      </w:r>
    </w:p>
    <w:p w14:paraId="573CF6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当前置任务延期时，后置任务自动顺延并高亮提示；支持批量调整依赖链上的任务排期。</w:t>
      </w:r>
    </w:p>
    <w:p w14:paraId="5ECC4392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3.2.3 进度对比与基线</w:t>
      </w:r>
      <w:bookmarkEnd w:id="15"/>
    </w:p>
    <w:p w14:paraId="6E1E6E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：支持保存计划基线，实际执行进度与基线计划叠加展示，直观呈现偏差。</w:t>
      </w:r>
    </w:p>
    <w:p w14:paraId="0E0E15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提供"计划 vs 实际"对比视图，用不同颜色区分计划工期与实际工期，便于复盘排期准确性。</w:t>
      </w:r>
    </w:p>
    <w:p w14:paraId="5327992B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3.2.4 拖拽排期</w:t>
      </w:r>
      <w:bookmarkEnd w:id="16"/>
    </w:p>
    <w:p w14:paraId="091136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：支持在甘特图上直接拖拽任务条调整起止时间、拖拽任务条边缘调整工期，操作即时生效并自动保存历史版本。</w:t>
      </w:r>
    </w:p>
    <w:tbl>
      <w:tblPr>
        <w:tblStyle w:val="2"/>
        <w:tblW w:w="0" w:type="auto"/>
        <w:tblInd w:w="0" w:type="dxa"/>
        <w:tblBorders>
          <w:top w:val="single" w:color="8EE085" w:sz="0" w:space="0"/>
          <w:left w:val="single" w:color="8EE085" w:sz="0" w:space="0"/>
          <w:bottom w:val="single" w:color="8EE085" w:sz="0" w:space="0"/>
          <w:right w:val="single" w:color="8EE085" w:sz="0" w:space="0"/>
          <w:insideH w:val="single" w:color="8EE085" w:sz="0" w:space="0"/>
          <w:insideV w:val="single" w:color="8EE085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3027466">
        <w:tblPrEx>
          <w:tblBorders>
            <w:top w:val="single" w:color="8EE085" w:sz="0" w:space="0"/>
            <w:left w:val="single" w:color="8EE085" w:sz="0" w:space="0"/>
            <w:bottom w:val="single" w:color="8EE085" w:sz="0" w:space="0"/>
            <w:right w:val="single" w:color="8EE085" w:sz="0" w:space="0"/>
            <w:insideH w:val="single" w:color="8EE085" w:sz="0" w:space="0"/>
            <w:insideV w:val="single" w:color="8EE085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EC5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轻量设计</w:t>
            </w:r>
            <w:r>
              <w:rPr>
                <w:rFonts w:ascii="Arial" w:hAnsi="Arial" w:eastAsia="等线" w:cs="Arial"/>
                <w:sz w:val="22"/>
              </w:rPr>
              <w:t>：甘特图聚焦排期与进度查看，不做过度复杂的资源 leveling 与关键路径算法，保持易用性。</w:t>
            </w:r>
          </w:p>
        </w:tc>
      </w:tr>
    </w:tbl>
    <w:p w14:paraId="3D9F0AE5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3.3 计划管理</w:t>
      </w:r>
      <w:bookmarkEnd w:id="17"/>
    </w:p>
    <w:p w14:paraId="1A9D13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计划管理模块覆盖项目计划从制定、分解、执行到收尾的全过程，是项目执行的主线。</w:t>
      </w:r>
    </w:p>
    <w:p w14:paraId="42B5F274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3.3.1 计划制定</w:t>
      </w:r>
      <w:bookmarkEnd w:id="18"/>
    </w:p>
    <w:p w14:paraId="79E44C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：支持创建项目计划，设置项目基本信息与阶段划分，可基于模板快速生成。</w:t>
      </w:r>
    </w:p>
    <w:p w14:paraId="40C595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计划基本信息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3585"/>
        <w:gridCol w:w="2760"/>
      </w:tblGrid>
      <w:tr w14:paraId="3B1D5F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650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5C6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14F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必填</w:t>
            </w:r>
          </w:p>
        </w:tc>
      </w:tr>
      <w:tr w14:paraId="7E2425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133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计划名称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A4E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项目计划的名称，如"V2.0 版本开发计划"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6BF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7887F1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3FF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项目归属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8E1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所属项目/产品线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95D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1BBE63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BF8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计划周期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E8F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计划开始日期与结束日期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894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1D704A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CB8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DF4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计划总负责人，默认创建人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6FA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2E282D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27D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参与人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C1C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参与计划执行的团队成员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01A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</w:tr>
      <w:tr w14:paraId="179CBE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C79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34C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 / 中 / 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718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</w:tr>
      <w:tr w14:paraId="6475DD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A70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计划描述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B3C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计划目标、背景、范围说明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9A9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</w:tr>
    </w:tbl>
    <w:p w14:paraId="15B9A546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3.3.2 任务分解（WBS）</w:t>
      </w:r>
      <w:bookmarkEnd w:id="19"/>
    </w:p>
    <w:p w14:paraId="2D89E0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：将计划逐层分解为可执行的任务，支持多级任务结构（父任务→子任务→孙任务）。</w:t>
      </w:r>
    </w:p>
    <w:p w14:paraId="10860536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层级管理</w:t>
      </w:r>
      <w:r>
        <w:rPr>
          <w:rFonts w:ascii="Arial" w:hAnsi="Arial" w:eastAsia="等线" w:cs="Arial"/>
          <w:sz w:val="22"/>
        </w:rPr>
        <w:t>：支持任务的缩进/提升层级、拖拽排序，结构清晰。</w:t>
      </w:r>
    </w:p>
    <w:p w14:paraId="79150F7E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任务属性</w:t>
      </w:r>
      <w:r>
        <w:rPr>
          <w:rFonts w:ascii="Arial" w:hAnsi="Arial" w:eastAsia="等线" w:cs="Arial"/>
          <w:sz w:val="22"/>
        </w:rPr>
        <w:t>：每个任务包含标题、描述、负责人、起止时间、预估工时、优先级、状态等字段。</w:t>
      </w:r>
    </w:p>
    <w:p w14:paraId="36BA956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批量操作</w:t>
      </w:r>
      <w:r>
        <w:rPr>
          <w:rFonts w:ascii="Arial" w:hAnsi="Arial" w:eastAsia="等线" w:cs="Arial"/>
          <w:sz w:val="22"/>
        </w:rPr>
        <w:t>：支持批量导入任务（Excel/CSV）、批量指派、批量调整排期。</w:t>
      </w:r>
    </w:p>
    <w:p w14:paraId="45D9B513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任务关联</w:t>
      </w:r>
      <w:r>
        <w:rPr>
          <w:rFonts w:ascii="Arial" w:hAnsi="Arial" w:eastAsia="等线" w:cs="Arial"/>
          <w:sz w:val="22"/>
        </w:rPr>
        <w:t>：任务可关联需求、缺陷、文档等资源，形成完整上下文。</w:t>
      </w:r>
    </w:p>
    <w:p w14:paraId="5EE8A729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3.3.3 设置提交模块</w:t>
      </w:r>
      <w:bookmarkEnd w:id="20"/>
    </w:p>
    <w:p w14:paraId="148CEA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：提供标准化的计划提交与审批流程，确保计划质量与团队对齐。</w:t>
      </w:r>
    </w:p>
    <w:p w14:paraId="53BED5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提交流程</w:t>
      </w:r>
      <w:r>
        <w:rPr>
          <w:rFonts w:ascii="Arial" w:hAnsi="Arial" w:eastAsia="等线" w:cs="Arial"/>
          <w:sz w:val="22"/>
        </w:rPr>
        <w:t>：</w:t>
      </w:r>
    </w:p>
    <w:p w14:paraId="13A6CF66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编辑草稿</w:t>
      </w:r>
      <w:r>
        <w:rPr>
          <w:rFonts w:ascii="Arial" w:hAnsi="Arial" w:eastAsia="等线" w:cs="Arial"/>
          <w:sz w:val="22"/>
        </w:rPr>
        <w:t>：计划负责人在草稿状态下完善计划内容，可随时保存。</w:t>
      </w:r>
    </w:p>
    <w:p w14:paraId="7754181A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提交审核</w:t>
      </w:r>
      <w:r>
        <w:rPr>
          <w:rFonts w:ascii="Arial" w:hAnsi="Arial" w:eastAsia="等线" w:cs="Arial"/>
          <w:sz w:val="22"/>
        </w:rPr>
        <w:t>：计划内容确认后，点击"提交审核"，计划状态变为"待审核"。</w:t>
      </w:r>
    </w:p>
    <w:p w14:paraId="1775F46B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审核批复</w:t>
      </w:r>
      <w:r>
        <w:rPr>
          <w:rFonts w:ascii="Arial" w:hAnsi="Arial" w:eastAsia="等线" w:cs="Arial"/>
          <w:sz w:val="22"/>
        </w:rPr>
        <w:t>：审核人收到通知，查看计划详情，可通过、驳回或要求修改。</w:t>
      </w:r>
    </w:p>
    <w:p w14:paraId="11AA9BD9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正式生效</w:t>
      </w:r>
      <w:r>
        <w:rPr>
          <w:rFonts w:ascii="Arial" w:hAnsi="Arial" w:eastAsia="等线" w:cs="Arial"/>
          <w:sz w:val="22"/>
        </w:rPr>
        <w:t>：审核通过后，计划状态变为"进行中"，任务正式进入执行阶段。</w:t>
      </w:r>
    </w:p>
    <w:p w14:paraId="69E7A5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提交校验</w:t>
      </w:r>
      <w:r>
        <w:rPr>
          <w:rFonts w:ascii="Arial" w:hAnsi="Arial" w:eastAsia="等线" w:cs="Arial"/>
          <w:sz w:val="22"/>
        </w:rPr>
        <w:t>：提交前自动检查必填项完整性、任务排期合理性、资源分配冲突等，给出提示。</w:t>
      </w:r>
    </w:p>
    <w:p w14:paraId="44BF1266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3.3.4 资源分配与负载</w:t>
      </w:r>
      <w:bookmarkEnd w:id="21"/>
    </w:p>
    <w:p w14:paraId="4D80A9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：在计划制定阶段进行资源预分配，查看团队成员在计划周期内的任务负载情况，避免资源过载。</w:t>
      </w:r>
    </w:p>
    <w:p w14:paraId="35CC1A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以资源视图展示每位成员的工时分配，负载过高的成员以红色标记，支持一键调整任务分配。</w:t>
      </w:r>
    </w:p>
    <w:p w14:paraId="6A302E73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3.4 需求管理</w:t>
      </w:r>
      <w:bookmarkEnd w:id="22"/>
    </w:p>
    <w:p w14:paraId="175986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需求管理模块覆盖需求从收集、评审、排期到交付的全流程，确保需求有序、可追溯。</w:t>
      </w:r>
    </w:p>
    <w:p w14:paraId="10911D2D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3.4.1 需求池</w:t>
      </w:r>
      <w:bookmarkEnd w:id="23"/>
    </w:p>
    <w:p w14:paraId="14C703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：统一收纳所有需求条目，支持多来源录入（产品规划、用户反馈、业务提出、技术优化等）。</w:t>
      </w:r>
    </w:p>
    <w:p w14:paraId="39994B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需求字段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3870"/>
        <w:gridCol w:w="2760"/>
      </w:tblGrid>
      <w:tr w14:paraId="51E008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4EC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5B6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9B0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</w:tr>
      <w:tr w14:paraId="7D4115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F19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需求标题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DBB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简要描述需求内容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DE7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单行文本</w:t>
            </w:r>
          </w:p>
        </w:tc>
      </w:tr>
      <w:tr w14:paraId="4F17DA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2CC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C2F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详细的需求说明、用户故事、验收标准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24D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富文本</w:t>
            </w:r>
          </w:p>
        </w:tc>
      </w:tr>
      <w:tr w14:paraId="424B97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86D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需求来源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1D6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产品规划 / 用户反馈 / 业务提出 / 技术优化 / 其他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8C0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单选</w:t>
            </w:r>
          </w:p>
        </w:tc>
      </w:tr>
      <w:tr w14:paraId="196599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4B0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979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P0（紧急）/ P1（高）/ P2（中）/ P3（低）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212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单选</w:t>
            </w:r>
          </w:p>
        </w:tc>
      </w:tr>
      <w:tr w14:paraId="0B3160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9DB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预估工作量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A1E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人天 / 故事点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51A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数字</w:t>
            </w:r>
          </w:p>
        </w:tc>
      </w:tr>
      <w:tr w14:paraId="1DA5C6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2A0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提出人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6F5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需求提出者，默认创建人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EBF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人员选择</w:t>
            </w:r>
          </w:p>
        </w:tc>
      </w:tr>
      <w:tr w14:paraId="114F31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794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82A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需求跟进负责人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6C9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人员选择</w:t>
            </w:r>
          </w:p>
        </w:tc>
      </w:tr>
      <w:tr w14:paraId="757017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2F7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42F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用于分类与筛选的自定义标签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31D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多选</w:t>
            </w:r>
          </w:p>
        </w:tc>
      </w:tr>
      <w:tr w14:paraId="3EF4A5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A49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附件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9F7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需求相关的文档、原型、设计稿等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E42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</w:t>
            </w:r>
          </w:p>
        </w:tc>
      </w:tr>
    </w:tbl>
    <w:p w14:paraId="2EC396B4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3.4.2 需求评审</w:t>
      </w:r>
      <w:bookmarkEnd w:id="24"/>
    </w:p>
    <w:p w14:paraId="1DB716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：支持线上需求评审流程，评审意见留痕，结果可追溯。</w:t>
      </w:r>
    </w:p>
    <w:p w14:paraId="08D2DE29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发起评审</w:t>
      </w:r>
      <w:r>
        <w:rPr>
          <w:rFonts w:ascii="Arial" w:hAnsi="Arial" w:eastAsia="等线" w:cs="Arial"/>
          <w:sz w:val="22"/>
        </w:rPr>
        <w:t>：需求负责人选择评审人，发起评审请求，系统自动通知。</w:t>
      </w:r>
    </w:p>
    <w:p w14:paraId="0D150367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在线评审</w:t>
      </w:r>
      <w:r>
        <w:rPr>
          <w:rFonts w:ascii="Arial" w:hAnsi="Arial" w:eastAsia="等线" w:cs="Arial"/>
          <w:sz w:val="22"/>
        </w:rPr>
        <w:t>：评审人查看需求详情，填写评审意见（通过 / 驳回 / 待修改），可标注具体段落。</w:t>
      </w:r>
    </w:p>
    <w:p w14:paraId="7D7C641D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评审汇总</w:t>
      </w:r>
      <w:r>
        <w:rPr>
          <w:rFonts w:ascii="Arial" w:hAnsi="Arial" w:eastAsia="等线" w:cs="Arial"/>
          <w:sz w:val="22"/>
        </w:rPr>
        <w:t>：自动汇总所有评审意见，生成评审结论，未通过的需求退回修改。</w:t>
      </w:r>
    </w:p>
    <w:p w14:paraId="45DC5E92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评审记录</w:t>
      </w:r>
      <w:r>
        <w:rPr>
          <w:rFonts w:ascii="Arial" w:hAnsi="Arial" w:eastAsia="等线" w:cs="Arial"/>
          <w:sz w:val="22"/>
        </w:rPr>
        <w:t>：每次评审完整记录，支持历史版本对比。</w:t>
      </w:r>
    </w:p>
    <w:p w14:paraId="311FE548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3.4.3 版本规划与排期</w:t>
      </w:r>
      <w:bookmarkEnd w:id="25"/>
    </w:p>
    <w:p w14:paraId="330844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：将已评审通过的需求纳入版本规划，按优先级与工作量合理安排迭代。</w:t>
      </w:r>
    </w:p>
    <w:p w14:paraId="72B29CFA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版本管理</w:t>
      </w:r>
      <w:r>
        <w:rPr>
          <w:rFonts w:ascii="Arial" w:hAnsi="Arial" w:eastAsia="等线" w:cs="Arial"/>
          <w:sz w:val="22"/>
        </w:rPr>
        <w:t>：创建版本（如 V1.2、Q3 迭代），设置版本目标与起止时间。</w:t>
      </w:r>
    </w:p>
    <w:p w14:paraId="382C63B2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拖拽排期</w:t>
      </w:r>
      <w:r>
        <w:rPr>
          <w:rFonts w:ascii="Arial" w:hAnsi="Arial" w:eastAsia="等线" w:cs="Arial"/>
          <w:sz w:val="22"/>
        </w:rPr>
        <w:t>：在需求池与版本之间拖拽需求，快速完成排期。</w:t>
      </w:r>
    </w:p>
    <w:p w14:paraId="48B3093F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工作量统计</w:t>
      </w:r>
      <w:r>
        <w:rPr>
          <w:rFonts w:ascii="Arial" w:hAnsi="Arial" w:eastAsia="等线" w:cs="Arial"/>
          <w:sz w:val="22"/>
        </w:rPr>
        <w:t>：实时显示版本内需求总工作量与剩余容量，辅助排期决策。</w:t>
      </w:r>
    </w:p>
    <w:p w14:paraId="0C4A73A5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版本甘特</w:t>
      </w:r>
      <w:r>
        <w:rPr>
          <w:rFonts w:ascii="Arial" w:hAnsi="Arial" w:eastAsia="等线" w:cs="Arial"/>
          <w:sz w:val="22"/>
        </w:rPr>
        <w:t>：版本内需求与任务在甘特图中统一展示，直观查看版本进度。</w:t>
      </w:r>
    </w:p>
    <w:p w14:paraId="5BBAD1EF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3.4.4 需求变更管理</w:t>
      </w:r>
      <w:bookmarkEnd w:id="26"/>
    </w:p>
    <w:p w14:paraId="7113B4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：对已排期或已进入开发的需求变更进行管控，避免范围蔓延。</w:t>
      </w:r>
    </w:p>
    <w:p w14:paraId="1DDE54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变更需提交变更申请，说明变更原因与影响范围，经审批后生效。变更历史完整记录，支持追溯每次变更的时间、内容与审批人。</w:t>
      </w:r>
    </w:p>
    <w:p w14:paraId="7BF308AD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3.5 缺陷管理</w:t>
      </w:r>
      <w:bookmarkEnd w:id="27"/>
    </w:p>
    <w:p w14:paraId="7C5973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缺陷管理模块覆盖缺陷从发现、提交、分配、修复、验证到关闭的完整闭环，保障产品质量。</w:t>
      </w:r>
    </w:p>
    <w:p w14:paraId="244F92D0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3.5.1 缺陷录入</w:t>
      </w:r>
      <w:bookmarkEnd w:id="28"/>
    </w:p>
    <w:p w14:paraId="1ADB67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：提供简洁高效的缺陷录入方式，支持多渠道提交，降低录入门槛。</w:t>
      </w:r>
    </w:p>
    <w:p w14:paraId="57CBEF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缺陷字段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3870"/>
        <w:gridCol w:w="2760"/>
      </w:tblGrid>
      <w:tr w14:paraId="09F80E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74D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ECD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29C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必填</w:t>
            </w:r>
          </w:p>
        </w:tc>
      </w:tr>
      <w:tr w14:paraId="4E407B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59A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缺陷标题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3B3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简要描述缺陷现象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B9D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3A4814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DAA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缺陷描述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8B6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复现步骤、预期结果、实际结果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4B2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29354C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323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严重程度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004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致命 / 严重 / 一般 / 轻微 / 建议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C12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1BB2DE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B29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728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紧急 / 高 / 中 / 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31E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235575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14E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所属模块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0EC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缺陷所在的功能模块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056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11D664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45C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发现版本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EDE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发现缺陷的版本号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7DA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6251BB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22C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指派给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FBF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缺陷处理负责人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A96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3B4BD4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144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截图/附件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038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缺陷截图、日志、录屏等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9F3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</w:tr>
      <w:tr w14:paraId="6A9036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95C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环境信息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FF2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操作系统、浏览器、设备型号等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1F2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</w:tr>
    </w:tbl>
    <w:p w14:paraId="201620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快捷录入</w:t>
      </w:r>
      <w:r>
        <w:rPr>
          <w:rFonts w:ascii="Arial" w:hAnsi="Arial" w:eastAsia="等线" w:cs="Arial"/>
          <w:sz w:val="22"/>
        </w:rPr>
        <w:t>：支持模板快速填充、截图直接粘贴、拖拽上传附件，录入操作不超过 30 秒。</w:t>
      </w:r>
    </w:p>
    <w:p w14:paraId="6CBEE913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3.5.2 缺陷流转</w:t>
      </w:r>
      <w:bookmarkEnd w:id="29"/>
    </w:p>
    <w:p w14:paraId="7B92FE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：缺陷状态按标准流程自动流转，确保每个缺陷都有人跟进、有始有终。</w:t>
      </w:r>
    </w:p>
    <w:p w14:paraId="324A7E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状态流转图</w:t>
      </w:r>
      <w:r>
        <w:rPr>
          <w:rFonts w:ascii="Arial" w:hAnsi="Arial" w:eastAsia="等线" w:cs="Arial"/>
          <w:sz w:val="22"/>
        </w:rPr>
        <w:t>：</w:t>
      </w:r>
    </w:p>
    <w:p w14:paraId="6A48DF2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695700"/>
            <wp:effectExtent l="0" t="0" r="0" b="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83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流转规则</w:t>
      </w:r>
      <w:r>
        <w:rPr>
          <w:rFonts w:ascii="Arial" w:hAnsi="Arial" w:eastAsia="等线" w:cs="Arial"/>
          <w:sz w:val="22"/>
        </w:rPr>
        <w:t>：</w:t>
      </w:r>
    </w:p>
    <w:p w14:paraId="1C6FA3D7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状态变更自动通知相关人员（提交人、处理人、关注人）。</w:t>
      </w:r>
    </w:p>
    <w:p w14:paraId="53869BD0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支持批量变更状态、批量指派，提高处理效率。</w:t>
      </w:r>
    </w:p>
    <w:p w14:paraId="5F82B7F0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每次状态变更记录操作人、时间、备注，完整可追溯。</w:t>
      </w:r>
    </w:p>
    <w:p w14:paraId="727E6662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3.5.3 缺陷统计与分析</w:t>
      </w:r>
      <w:bookmarkEnd w:id="30"/>
    </w:p>
    <w:p w14:paraId="591A4F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：多维度统计缺陷数据，为质量改进提供数据支撑。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4140"/>
        <w:gridCol w:w="2070"/>
      </w:tblGrid>
      <w:tr w14:paraId="217046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18D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统计维度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69B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112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图表类型</w:t>
            </w:r>
          </w:p>
        </w:tc>
      </w:tr>
      <w:tr w14:paraId="30959F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93A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缺陷分布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024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按模块、严重程度、优先级分布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A31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饼图 / 柱状图</w:t>
            </w:r>
          </w:p>
        </w:tc>
      </w:tr>
      <w:tr w14:paraId="661F19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DB5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缺陷趋势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928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按时间维度的新增/关闭趋势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C39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折线图</w:t>
            </w:r>
          </w:p>
        </w:tc>
      </w:tr>
      <w:tr w14:paraId="0EBB3F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F0F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修复效率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0E3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平均修复时长、首次修复率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4D9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数字卡片</w:t>
            </w:r>
          </w:p>
        </w:tc>
      </w:tr>
      <w:tr w14:paraId="0C1E06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3E6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缺陷密度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363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每千行代码/功能点缺陷数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C08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柱状图</w:t>
            </w:r>
          </w:p>
        </w:tc>
      </w:tr>
      <w:tr w14:paraId="39FFF2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F6A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reopening 率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3E2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缺陷重新打开的比例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462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百分比</w:t>
            </w:r>
          </w:p>
        </w:tc>
      </w:tr>
    </w:tbl>
    <w:p w14:paraId="5343844B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3.5.4 回归验证</w:t>
      </w:r>
      <w:bookmarkEnd w:id="31"/>
    </w:p>
    <w:p w14:paraId="2D2455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：缺陷修复后进入验证环节，确保修复有效且未引入新问题。</w:t>
      </w:r>
    </w:p>
    <w:p w14:paraId="6222387C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验证清单</w:t>
      </w:r>
      <w:r>
        <w:rPr>
          <w:rFonts w:ascii="Arial" w:hAnsi="Arial" w:eastAsia="等线" w:cs="Arial"/>
          <w:sz w:val="22"/>
        </w:rPr>
        <w:t>：测试人员可创建回归测试清单，关联待验证的缺陷。</w:t>
      </w:r>
    </w:p>
    <w:p w14:paraId="34925756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批量验证</w:t>
      </w:r>
      <w:r>
        <w:rPr>
          <w:rFonts w:ascii="Arial" w:hAnsi="Arial" w:eastAsia="等线" w:cs="Arial"/>
          <w:sz w:val="22"/>
        </w:rPr>
        <w:t>：支持同一版本的多个缺陷批量验证，提高效率。</w:t>
      </w:r>
    </w:p>
    <w:p w14:paraId="2129ABB8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验证记录</w:t>
      </w:r>
      <w:r>
        <w:rPr>
          <w:rFonts w:ascii="Arial" w:hAnsi="Arial" w:eastAsia="等线" w:cs="Arial"/>
          <w:sz w:val="22"/>
        </w:rPr>
        <w:t>：每次验证结果（通过 / 不通过）完整记录，不通过的缺陷自动重新打开并退回开发。</w:t>
      </w:r>
    </w:p>
    <w:p w14:paraId="3E608F55">
      <w:pPr>
        <w:spacing w:before="380" w:after="140" w:line="288" w:lineRule="auto"/>
        <w:ind w:left="0"/>
        <w:jc w:val="left"/>
        <w:outlineLvl w:val="0"/>
      </w:pPr>
      <w:bookmarkStart w:id="32" w:name="heading_32"/>
      <w:r>
        <w:rPr>
          <w:rFonts w:ascii="Arial" w:hAnsi="Arial" w:eastAsia="等线" w:cs="Arial"/>
          <w:b/>
          <w:sz w:val="36"/>
        </w:rPr>
        <w:t>四、通用功能</w:t>
      </w:r>
      <w:bookmarkEnd w:id="32"/>
    </w:p>
    <w:p w14:paraId="1D828800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4.1 任务延期提醒</w:t>
      </w:r>
      <w:bookmarkEnd w:id="33"/>
    </w:p>
    <w:p w14:paraId="4C4F6E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：自动识别即将到期或已延期的任务，通过多渠道提醒相关人员，降低延期风险。</w:t>
      </w:r>
    </w:p>
    <w:p w14:paraId="69AECD87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4.1.1 提醒规则</w:t>
      </w:r>
      <w:bookmarkEnd w:id="3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3585"/>
        <w:gridCol w:w="2760"/>
      </w:tblGrid>
      <w:tr w14:paraId="77C20F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598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提醒类型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189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843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提醒对象</w:t>
            </w:r>
          </w:p>
        </w:tc>
      </w:tr>
      <w:tr w14:paraId="7397F3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EA8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临期提醒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6BC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任务截止前 N 天（默认 1 天，可配置）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956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任务负责人</w:t>
            </w:r>
          </w:p>
        </w:tc>
      </w:tr>
      <w:tr w14:paraId="4AD024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8EF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当日到期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FB4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任务截止日期为当天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F63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任务负责人 + 关注人</w:t>
            </w:r>
          </w:p>
        </w:tc>
      </w:tr>
      <w:tr w14:paraId="081558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A37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已延期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3A3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超过截止日期仍未完成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0A2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任务负责人 + 上级</w:t>
            </w:r>
          </w:p>
        </w:tc>
      </w:tr>
      <w:tr w14:paraId="7737A1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C21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延期升级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D78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延期超过 N 天（默认 3 天）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97B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 + 上级 + 项目经理</w:t>
            </w:r>
          </w:p>
        </w:tc>
      </w:tr>
      <w:tr w14:paraId="5B7A52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078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里程碑临近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70B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里程碑节点前 N 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516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项目全员</w:t>
            </w:r>
          </w:p>
        </w:tc>
      </w:tr>
    </w:tbl>
    <w:p w14:paraId="1C284D83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4.1.2 提醒渠道</w:t>
      </w:r>
      <w:bookmarkEnd w:id="35"/>
    </w:p>
    <w:p w14:paraId="2C35B993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站内消息</w:t>
      </w:r>
      <w:r>
        <w:rPr>
          <w:rFonts w:ascii="Arial" w:hAnsi="Arial" w:eastAsia="等线" w:cs="Arial"/>
          <w:sz w:val="22"/>
        </w:rPr>
        <w:t>：系统通知中心推送，未读消息标红提示。</w:t>
      </w:r>
    </w:p>
    <w:p w14:paraId="310B12E3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即时通讯</w:t>
      </w:r>
      <w:r>
        <w:rPr>
          <w:rFonts w:ascii="Arial" w:hAnsi="Arial" w:eastAsia="等线" w:cs="Arial"/>
          <w:sz w:val="22"/>
        </w:rPr>
        <w:t>：对接飞书/企业微信等 IM 工具，推送卡片消息，支持一键跳转处理。</w:t>
      </w:r>
    </w:p>
    <w:p w14:paraId="0F5A7819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邮件</w:t>
      </w:r>
      <w:r>
        <w:rPr>
          <w:rFonts w:ascii="Arial" w:hAnsi="Arial" w:eastAsia="等线" w:cs="Arial"/>
          <w:sz w:val="22"/>
        </w:rPr>
        <w:t>：每日汇总邮件，发送当日待办与延期事项。</w:t>
      </w:r>
    </w:p>
    <w:p w14:paraId="5EB08CC5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仪表盘预警</w:t>
      </w:r>
      <w:r>
        <w:rPr>
          <w:rFonts w:ascii="Arial" w:hAnsi="Arial" w:eastAsia="等线" w:cs="Arial"/>
          <w:sz w:val="22"/>
        </w:rPr>
        <w:t>：延期任务在仪表盘醒目展示，点击直达。</w:t>
      </w:r>
    </w:p>
    <w:p w14:paraId="7D039B3E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4.1.3 提醒配置</w:t>
      </w:r>
      <w:bookmarkEnd w:id="36"/>
    </w:p>
    <w:p w14:paraId="290809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支持项目级与个人级的提醒规则自定义：项目管理员可配置本项目的提醒策略，个人可设置自己的免打扰时段与偏好渠道。</w:t>
      </w:r>
    </w:p>
    <w:p w14:paraId="299B6BD5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4.2 任务审核与批复</w:t>
      </w:r>
      <w:bookmarkEnd w:id="37"/>
    </w:p>
    <w:p w14:paraId="5C731A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：为关键节点的任务提供审核批复机制，确保重要事项经过确认后再推进。</w:t>
      </w:r>
    </w:p>
    <w:p w14:paraId="3CCD8123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4.2.1 审核场景</w:t>
      </w:r>
      <w:bookmarkEnd w:id="38"/>
    </w:p>
    <w:p w14:paraId="3D564955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计划提交审核</w:t>
      </w:r>
      <w:r>
        <w:rPr>
          <w:rFonts w:ascii="Arial" w:hAnsi="Arial" w:eastAsia="等线" w:cs="Arial"/>
          <w:sz w:val="22"/>
        </w:rPr>
        <w:t>：项目计划制定完成后，提交上级审核批复。</w:t>
      </w:r>
    </w:p>
    <w:p w14:paraId="320D6B9E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任务完成确认</w:t>
      </w:r>
      <w:r>
        <w:rPr>
          <w:rFonts w:ascii="Arial" w:hAnsi="Arial" w:eastAsia="等线" w:cs="Arial"/>
          <w:sz w:val="22"/>
        </w:rPr>
        <w:t>：关键任务完成后，需任务提出人或上级确认验收。</w:t>
      </w:r>
    </w:p>
    <w:p w14:paraId="1000A69C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需求变更审批</w:t>
      </w:r>
      <w:r>
        <w:rPr>
          <w:rFonts w:ascii="Arial" w:hAnsi="Arial" w:eastAsia="等线" w:cs="Arial"/>
          <w:sz w:val="22"/>
        </w:rPr>
        <w:t>：已排期需求的变更需经审批，避免范围蔓延。</w:t>
      </w:r>
    </w:p>
    <w:p w14:paraId="03A6AC98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里程碑验收</w:t>
      </w:r>
      <w:r>
        <w:rPr>
          <w:rFonts w:ascii="Arial" w:hAnsi="Arial" w:eastAsia="等线" w:cs="Arial"/>
          <w:sz w:val="22"/>
        </w:rPr>
        <w:t>：项目里程碑节点达成后，组织验收与确认。</w:t>
      </w:r>
    </w:p>
    <w:p w14:paraId="763E0A4F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4.2.2 审核流程</w:t>
      </w:r>
      <w:bookmarkEnd w:id="39"/>
    </w:p>
    <w:p w14:paraId="3DDAA292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发起审核</w:t>
      </w:r>
      <w:r>
        <w:rPr>
          <w:rFonts w:ascii="Arial" w:hAnsi="Arial" w:eastAsia="等线" w:cs="Arial"/>
          <w:sz w:val="22"/>
        </w:rPr>
        <w:t>：提交人填写审核说明，选择审核人，发起审核请求。</w:t>
      </w:r>
    </w:p>
    <w:p w14:paraId="036635E9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审核处理</w:t>
      </w:r>
      <w:r>
        <w:rPr>
          <w:rFonts w:ascii="Arial" w:hAnsi="Arial" w:eastAsia="等线" w:cs="Arial"/>
          <w:sz w:val="22"/>
        </w:rPr>
        <w:t>：审核人收到通知，查看详情，给出审核意见（通过 / 驳回 / 转审）。</w:t>
      </w:r>
    </w:p>
    <w:p w14:paraId="51E460C4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结果通知</w:t>
      </w:r>
      <w:r>
        <w:rPr>
          <w:rFonts w:ascii="Arial" w:hAnsi="Arial" w:eastAsia="等线" w:cs="Arial"/>
          <w:sz w:val="22"/>
        </w:rPr>
        <w:t>：审核结果自动通知提交人及相关人员，通过则状态流转，驳回则退回修改。</w:t>
      </w:r>
    </w:p>
    <w:p w14:paraId="47CE7B2E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审核留痕</w:t>
      </w:r>
      <w:r>
        <w:rPr>
          <w:rFonts w:ascii="Arial" w:hAnsi="Arial" w:eastAsia="等线" w:cs="Arial"/>
          <w:sz w:val="22"/>
        </w:rPr>
        <w:t>：完整记录每次审核的操作人、时间、意见，支持历史追溯。</w:t>
      </w:r>
    </w:p>
    <w:p w14:paraId="726AF743">
      <w:pPr>
        <w:spacing w:before="300" w:after="120" w:line="288" w:lineRule="auto"/>
        <w:ind w:left="0"/>
        <w:jc w:val="left"/>
        <w:outlineLvl w:val="2"/>
      </w:pPr>
      <w:bookmarkStart w:id="40" w:name="heading_40"/>
      <w:r>
        <w:rPr>
          <w:rFonts w:ascii="Arial" w:hAnsi="Arial" w:eastAsia="等线" w:cs="Arial"/>
          <w:b/>
          <w:sz w:val="30"/>
        </w:rPr>
        <w:t>4.2.3 批复管理</w:t>
      </w:r>
      <w:bookmarkEnd w:id="40"/>
    </w:p>
    <w:p w14:paraId="7F22DA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批复是审核的高级形式，适用于需要正式书面确认的场景。批复内容包含批复意见、批复时间、批复人，支持导出为正式文档。</w:t>
      </w:r>
    </w:p>
    <w:tbl>
      <w:tblPr>
        <w:tblStyle w:val="2"/>
        <w:tblW w:w="0" w:type="auto"/>
        <w:tblInd w:w="0" w:type="dxa"/>
        <w:tblBorders>
          <w:top w:val="single" w:color="82A7FC" w:sz="0" w:space="0"/>
          <w:left w:val="single" w:color="82A7FC" w:sz="0" w:space="0"/>
          <w:bottom w:val="single" w:color="82A7FC" w:sz="0" w:space="0"/>
          <w:right w:val="single" w:color="82A7FC" w:sz="0" w:space="0"/>
          <w:insideH w:val="single" w:color="82A7FC" w:sz="0" w:space="0"/>
          <w:insideV w:val="single" w:color="82A7FC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4F3BEC2">
        <w:tblPrEx>
          <w:tblBorders>
            <w:top w:val="single" w:color="82A7FC" w:sz="0" w:space="0"/>
            <w:left w:val="single" w:color="82A7FC" w:sz="0" w:space="0"/>
            <w:bottom w:val="single" w:color="82A7FC" w:sz="0" w:space="0"/>
            <w:right w:val="single" w:color="82A7FC" w:sz="0" w:space="0"/>
            <w:insideH w:val="single" w:color="82A7FC" w:sz="0" w:space="0"/>
            <w:insideV w:val="single" w:color="82A7F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3F1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轻量原则</w:t>
            </w:r>
            <w:r>
              <w:rPr>
                <w:rFonts w:ascii="Arial" w:hAnsi="Arial" w:eastAsia="等线" w:cs="Arial"/>
                <w:sz w:val="22"/>
              </w:rPr>
              <w:t>：审核机制为可选配置，团队可根据项目重要程度决定是否启用，避免流程过重影响效率。</w:t>
            </w:r>
          </w:p>
        </w:tc>
      </w:tr>
    </w:tbl>
    <w:p w14:paraId="13D8472A">
      <w:pPr>
        <w:spacing w:before="380" w:after="140" w:line="288" w:lineRule="auto"/>
        <w:ind w:left="0"/>
        <w:jc w:val="left"/>
        <w:outlineLvl w:val="0"/>
      </w:pPr>
      <w:bookmarkStart w:id="41" w:name="heading_41"/>
      <w:r>
        <w:rPr>
          <w:rFonts w:ascii="Arial" w:hAnsi="Arial" w:eastAsia="等线" w:cs="Arial"/>
          <w:b/>
          <w:sz w:val="36"/>
        </w:rPr>
        <w:t>五、模板体系</w:t>
      </w:r>
      <w:bookmarkEnd w:id="41"/>
    </w:p>
    <w:p w14:paraId="5108FF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模板体系是系统"可复用、按需定制"理念的核心载体，让团队无需从零开始，快速搭建适合自身的项目管理流程。</w:t>
      </w:r>
    </w:p>
    <w:p w14:paraId="40E20ACF">
      <w:pPr>
        <w:spacing w:before="320" w:after="120" w:line="288" w:lineRule="auto"/>
        <w:ind w:left="0"/>
        <w:jc w:val="left"/>
        <w:outlineLvl w:val="1"/>
      </w:pPr>
      <w:bookmarkStart w:id="42" w:name="heading_42"/>
      <w:r>
        <w:rPr>
          <w:rFonts w:ascii="Arial" w:hAnsi="Arial" w:eastAsia="等线" w:cs="Arial"/>
          <w:b/>
          <w:sz w:val="32"/>
        </w:rPr>
        <w:t>5.1 模板分类</w:t>
      </w:r>
      <w:bookmarkEnd w:id="4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3585"/>
        <w:gridCol w:w="2760"/>
      </w:tblGrid>
      <w:tr w14:paraId="44FE04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ED9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模板类型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1FE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11C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适用场景</w:t>
            </w:r>
          </w:p>
        </w:tc>
      </w:tr>
      <w:tr w14:paraId="43EF5D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C85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项目模板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17C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包含完整的项目结构、阶段划分、任务清单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0DA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新建项目时快速初始化</w:t>
            </w:r>
          </w:p>
        </w:tc>
      </w:tr>
      <w:tr w14:paraId="0C5FA2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5CC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计划模板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CA1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预定义的任务分解结构与排期节奏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105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迭代开发、版本发布等</w:t>
            </w:r>
          </w:p>
        </w:tc>
      </w:tr>
      <w:tr w14:paraId="772E8B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4D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需求模板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011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标准化的需求描述格式与字段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053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需求录入、需求评审</w:t>
            </w:r>
          </w:p>
        </w:tc>
      </w:tr>
      <w:tr w14:paraId="13EB18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EB1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缺陷模板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329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缺陷描述模板、严重程度定义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E06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缺陷录入、测试管理</w:t>
            </w:r>
          </w:p>
        </w:tc>
      </w:tr>
      <w:tr w14:paraId="405F8E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BC9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仪表盘模板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961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预设的指标卡片与图表布局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723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不同角色的仪表盘视图</w:t>
            </w:r>
          </w:p>
        </w:tc>
      </w:tr>
    </w:tbl>
    <w:p w14:paraId="25D5F520">
      <w:pPr>
        <w:spacing w:before="320" w:after="120" w:line="288" w:lineRule="auto"/>
        <w:ind w:left="0"/>
        <w:jc w:val="left"/>
        <w:outlineLvl w:val="1"/>
      </w:pPr>
      <w:bookmarkStart w:id="43" w:name="heading_43"/>
      <w:r>
        <w:rPr>
          <w:rFonts w:ascii="Arial" w:hAnsi="Arial" w:eastAsia="等线" w:cs="Arial"/>
          <w:b/>
          <w:sz w:val="32"/>
        </w:rPr>
        <w:t>5.2 内置模板</w:t>
      </w:r>
      <w:bookmarkEnd w:id="43"/>
    </w:p>
    <w:p w14:paraId="1C6D5F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系统内置多套行业通用模板，开箱即用：</w:t>
      </w:r>
    </w:p>
    <w:p w14:paraId="1ABBAF70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敏捷开发模板</w:t>
      </w:r>
      <w:r>
        <w:rPr>
          <w:rFonts w:ascii="Arial" w:hAnsi="Arial" w:eastAsia="等线" w:cs="Arial"/>
          <w:sz w:val="22"/>
        </w:rPr>
        <w:t>：适配 Scrum 流程，包含迭代计划、需求池、缺陷跟踪、燃尽图等。</w:t>
      </w:r>
    </w:p>
    <w:p w14:paraId="1570C611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瀑布开发模板</w:t>
      </w:r>
      <w:r>
        <w:rPr>
          <w:rFonts w:ascii="Arial" w:hAnsi="Arial" w:eastAsia="等线" w:cs="Arial"/>
          <w:sz w:val="22"/>
        </w:rPr>
        <w:t>：适配传统瀑布模式，包含需求分析、设计、开发、测试、上线等阶段。</w:t>
      </w:r>
    </w:p>
    <w:p w14:paraId="5995DAA9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产品迭代模板</w:t>
      </w:r>
      <w:r>
        <w:rPr>
          <w:rFonts w:ascii="Arial" w:hAnsi="Arial" w:eastAsia="等线" w:cs="Arial"/>
          <w:sz w:val="22"/>
        </w:rPr>
        <w:t>：聚焦版本迭代管理，包含版本规划、需求排期、发布跟踪。</w:t>
      </w:r>
    </w:p>
    <w:p w14:paraId="66D78914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运维项目模板</w:t>
      </w:r>
      <w:r>
        <w:rPr>
          <w:rFonts w:ascii="Arial" w:hAnsi="Arial" w:eastAsia="等线" w:cs="Arial"/>
          <w:sz w:val="22"/>
        </w:rPr>
        <w:t>：适配运维项目特点，包含变更管理、故障处理、巡检任务。</w:t>
      </w:r>
    </w:p>
    <w:p w14:paraId="66EEE07B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市场活动模板</w:t>
      </w:r>
      <w:r>
        <w:rPr>
          <w:rFonts w:ascii="Arial" w:hAnsi="Arial" w:eastAsia="等线" w:cs="Arial"/>
          <w:sz w:val="22"/>
        </w:rPr>
        <w:t>：适配营销项目，包含活动策划、执行排期、物料准备、效果追踪。</w:t>
      </w:r>
    </w:p>
    <w:p w14:paraId="0FC11B7F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sz w:val="32"/>
        </w:rPr>
        <w:t>5.3 自定义模板</w:t>
      </w:r>
      <w:bookmarkEnd w:id="44"/>
    </w:p>
    <w:p w14:paraId="700FCA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：支持团队基于现有项目或计划创建自定义模板，沉淀团队最佳实践。</w:t>
      </w:r>
    </w:p>
    <w:p w14:paraId="7ABD8526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保存为模板</w:t>
      </w:r>
      <w:r>
        <w:rPr>
          <w:rFonts w:ascii="Arial" w:hAnsi="Arial" w:eastAsia="等线" w:cs="Arial"/>
          <w:sz w:val="22"/>
        </w:rPr>
        <w:t>：在现有项目/计划基础上，一键保存为模板，保留结构与配置。</w:t>
      </w:r>
    </w:p>
    <w:p w14:paraId="39E041FE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模板编辑</w:t>
      </w:r>
      <w:r>
        <w:rPr>
          <w:rFonts w:ascii="Arial" w:hAnsi="Arial" w:eastAsia="等线" w:cs="Arial"/>
          <w:sz w:val="22"/>
        </w:rPr>
        <w:t>：对模板进行增删改，调整任务结构、字段配置、流程设置。</w:t>
      </w:r>
    </w:p>
    <w:p w14:paraId="0647AB4F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模板共享</w:t>
      </w:r>
      <w:r>
        <w:rPr>
          <w:rFonts w:ascii="Arial" w:hAnsi="Arial" w:eastAsia="等线" w:cs="Arial"/>
          <w:sz w:val="22"/>
        </w:rPr>
        <w:t>：模板可设置为团队共享或个人私有，支持跨项目复用。</w:t>
      </w:r>
    </w:p>
    <w:p w14:paraId="5445FB7A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模板版本</w:t>
      </w:r>
      <w:r>
        <w:rPr>
          <w:rFonts w:ascii="Arial" w:hAnsi="Arial" w:eastAsia="等线" w:cs="Arial"/>
          <w:sz w:val="22"/>
        </w:rPr>
        <w:t>：模板修改保留版本历史，可回滚至历史版本。</w:t>
      </w:r>
    </w:p>
    <w:p w14:paraId="24CFECC0">
      <w:pPr>
        <w:spacing w:before="320" w:after="120" w:line="288" w:lineRule="auto"/>
        <w:ind w:left="0"/>
        <w:jc w:val="left"/>
        <w:outlineLvl w:val="1"/>
      </w:pPr>
      <w:bookmarkStart w:id="45" w:name="heading_45"/>
      <w:r>
        <w:rPr>
          <w:rFonts w:ascii="Arial" w:hAnsi="Arial" w:eastAsia="等线" w:cs="Arial"/>
          <w:b/>
          <w:sz w:val="32"/>
        </w:rPr>
        <w:t>5.4 按需定制能力</w:t>
      </w:r>
      <w:bookmarkEnd w:id="45"/>
    </w:p>
    <w:p w14:paraId="6DD0F9D2">
      <w:pPr>
        <w:spacing w:before="380" w:after="140" w:line="288" w:lineRule="auto"/>
        <w:ind w:left="0"/>
        <w:jc w:val="left"/>
        <w:outlineLvl w:val="0"/>
      </w:pPr>
      <w:bookmarkStart w:id="46" w:name="heading_46"/>
      <w:r>
        <w:rPr>
          <w:rFonts w:ascii="Arial" w:hAnsi="Arial" w:eastAsia="等线" w:cs="Arial"/>
          <w:b/>
          <w:sz w:val="36"/>
        </w:rPr>
        <w:t>六、视觉与交互设计</w:t>
      </w:r>
      <w:bookmarkEnd w:id="46"/>
    </w:p>
    <w:p w14:paraId="582DC309">
      <w:pPr>
        <w:spacing w:before="320" w:after="120" w:line="288" w:lineRule="auto"/>
        <w:ind w:left="0"/>
        <w:jc w:val="left"/>
        <w:outlineLvl w:val="1"/>
      </w:pPr>
      <w:bookmarkStart w:id="47" w:name="heading_47"/>
      <w:r>
        <w:rPr>
          <w:rFonts w:ascii="Arial" w:hAnsi="Arial" w:eastAsia="等线" w:cs="Arial"/>
          <w:b/>
          <w:sz w:val="32"/>
        </w:rPr>
        <w:t>6.1 视觉风格</w:t>
      </w:r>
      <w:bookmarkEnd w:id="47"/>
    </w:p>
    <w:p w14:paraId="42E7E1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设计定位</w:t>
      </w:r>
      <w:r>
        <w:rPr>
          <w:rFonts w:ascii="Arial" w:hAnsi="Arial" w:eastAsia="等线" w:cs="Arial"/>
          <w:sz w:val="22"/>
        </w:rPr>
        <w:t>：项目作战总览驾驶舱风格，以深色基底营造沉浸式数据空间感，橙红与暖金色光效构成核心视觉语言，传递专业、紧迫、高能的项目管控氛围。</w:t>
      </w:r>
    </w:p>
    <w:p w14:paraId="0050B3FC">
      <w:pPr>
        <w:spacing w:before="300" w:after="120" w:line="288" w:lineRule="auto"/>
        <w:ind w:left="0"/>
        <w:jc w:val="left"/>
        <w:outlineLvl w:val="2"/>
      </w:pPr>
      <w:bookmarkStart w:id="48" w:name="heading_48"/>
      <w:r>
        <w:rPr>
          <w:rFonts w:ascii="Arial" w:hAnsi="Arial" w:eastAsia="等线" w:cs="Arial"/>
          <w:b/>
          <w:sz w:val="30"/>
        </w:rPr>
        <w:t>6.1.1 色彩体系</w:t>
      </w:r>
      <w:bookmarkEnd w:id="4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2760"/>
        <w:gridCol w:w="3585"/>
      </w:tblGrid>
      <w:tr w14:paraId="33EF17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0FC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色彩角色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9F3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色值参考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628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应用场景</w:t>
            </w:r>
          </w:p>
        </w:tc>
      </w:tr>
      <w:tr w14:paraId="04F9AC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973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主背景色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C20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深炭黑 #0A0E17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64D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全局基底、面板底色</w:t>
            </w:r>
          </w:p>
        </w:tc>
      </w:tr>
      <w:tr w14:paraId="5C0AB4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C05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面板底色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6E3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深蓝灰 #111827 / 带 15% 透明度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DEF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玻璃拟态数据面板</w:t>
            </w:r>
          </w:p>
        </w:tc>
      </w:tr>
      <w:tr w14:paraId="3E9C7C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71B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主光效色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922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橙红 #FF4D2E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490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核心指标、告警、强调按钮</w:t>
            </w:r>
          </w:p>
        </w:tc>
      </w:tr>
      <w:tr w14:paraId="0746AC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74B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辅光效色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450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暖金 #FFB347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4B7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次级数据、进度条、装饰光</w:t>
            </w:r>
          </w:p>
        </w:tc>
      </w:tr>
      <w:tr w14:paraId="47459F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B2C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霓虹边框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3D5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亮橙 #FF6B35 / 外发光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5DB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面板边框、选中态、焦点环</w:t>
            </w:r>
          </w:p>
        </w:tc>
      </w:tr>
      <w:tr w14:paraId="52D94B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7AF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文字主色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CDE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暖白 #F5F5F5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985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标题、正文、数据数值</w:t>
            </w:r>
          </w:p>
        </w:tc>
      </w:tr>
      <w:tr w14:paraId="7ACA25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95F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文字辅色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340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灰蓝 #94A3B8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76E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说明文字、标签、时间戳</w:t>
            </w:r>
          </w:p>
        </w:tc>
      </w:tr>
      <w:tr w14:paraId="0C3188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3B7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风险色阶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183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红 → 橙 → 黄 → 绿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D1E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风险等级、状态标识</w:t>
            </w:r>
          </w:p>
        </w:tc>
      </w:tr>
    </w:tbl>
    <w:p w14:paraId="51FCBC57"/>
    <w:tbl>
      <w:tblPr>
        <w:tblStyle w:val="2"/>
        <w:tblW w:w="0" w:type="auto"/>
        <w:tblInd w:w="0" w:type="dxa"/>
        <w:tblBorders>
          <w:top w:val="single" w:color="FFF258" w:sz="0" w:space="0"/>
          <w:left w:val="single" w:color="FFF258" w:sz="0" w:space="0"/>
          <w:bottom w:val="single" w:color="FFF258" w:sz="0" w:space="0"/>
          <w:right w:val="single" w:color="FFF258" w:sz="0" w:space="0"/>
          <w:insideH w:val="single" w:color="FFF258" w:sz="0" w:space="0"/>
          <w:insideV w:val="single" w:color="FFF258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B5A22D0">
        <w:tblPrEx>
          <w:tblBorders>
            <w:top w:val="single" w:color="FFF258" w:sz="0" w:space="0"/>
            <w:left w:val="single" w:color="FFF258" w:sz="0" w:space="0"/>
            <w:bottom w:val="single" w:color="FFF258" w:sz="0" w:space="0"/>
            <w:right w:val="single" w:color="FFF258" w:sz="0" w:space="0"/>
            <w:insideH w:val="single" w:color="FFF258" w:sz="0" w:space="0"/>
            <w:insideV w:val="single" w:color="FFF258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EFFF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DC4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发光标题文字</w:t>
            </w:r>
            <w:r>
              <w:rPr>
                <w:rFonts w:ascii="Arial" w:hAnsi="Arial" w:eastAsia="等线" w:cs="Arial"/>
                <w:sz w:val="22"/>
              </w:rPr>
              <w:t>：一级标题与关键数据数值启用 text-shadow 暖金色外发光效果，模拟霓虹灯管质感，提升视觉层级与科技感。</w:t>
            </w:r>
          </w:p>
        </w:tc>
      </w:tr>
    </w:tbl>
    <w:p w14:paraId="1425F454">
      <w:pPr>
        <w:spacing w:before="300" w:after="120" w:line="288" w:lineRule="auto"/>
        <w:ind w:left="0"/>
        <w:jc w:val="left"/>
        <w:outlineLvl w:val="2"/>
      </w:pPr>
      <w:bookmarkStart w:id="49" w:name="heading_49"/>
      <w:r>
        <w:rPr>
          <w:rFonts w:ascii="Arial" w:hAnsi="Arial" w:eastAsia="等线" w:cs="Arial"/>
          <w:b/>
          <w:sz w:val="30"/>
        </w:rPr>
        <w:t>6.1.2 材质与光影</w:t>
      </w:r>
      <w:bookmarkEnd w:id="49"/>
    </w:p>
    <w:p w14:paraId="3B110E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玻璃拟态数据面板</w:t>
      </w:r>
      <w:r>
        <w:rPr>
          <w:rFonts w:ascii="Arial" w:hAnsi="Arial" w:eastAsia="等线" w:cs="Arial"/>
          <w:sz w:val="22"/>
        </w:rPr>
        <w:t>：所有数据卡片、图表容器采用玻璃拟态（Glassmorphism）材质：</w:t>
      </w:r>
    </w:p>
    <w:p w14:paraId="46194AD7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背景</w:t>
      </w:r>
      <w:r>
        <w:rPr>
          <w:rFonts w:ascii="Arial" w:hAnsi="Arial" w:eastAsia="等线" w:cs="Arial"/>
          <w:sz w:val="22"/>
        </w:rPr>
        <w:t>：半透明深蓝灰填充（opacity 15%-20%），叠加 backdrop-filter 模糊效果。</w:t>
      </w:r>
    </w:p>
    <w:p w14:paraId="7962BA86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边框</w:t>
      </w:r>
      <w:r>
        <w:rPr>
          <w:rFonts w:ascii="Arial" w:hAnsi="Arial" w:eastAsia="等线" w:cs="Arial"/>
          <w:sz w:val="22"/>
        </w:rPr>
        <w:t>：1px 霓虹细边框，带外发光（glow）效果，颜色随面板功能语义变化（正常=暖金，告警=橙红）。</w:t>
      </w:r>
    </w:p>
    <w:p w14:paraId="00039347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内阴影</w:t>
      </w:r>
      <w:r>
        <w:rPr>
          <w:rFonts w:ascii="Arial" w:hAnsi="Arial" w:eastAsia="等线" w:cs="Arial"/>
          <w:sz w:val="22"/>
        </w:rPr>
        <w:t>：顶部微弱内高光，增强玻璃曲面质感与空间层次。</w:t>
      </w:r>
    </w:p>
    <w:p w14:paraId="33375753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底部投影</w:t>
      </w:r>
      <w:r>
        <w:rPr>
          <w:rFonts w:ascii="Arial" w:hAnsi="Arial" w:eastAsia="等线" w:cs="Arial"/>
          <w:sz w:val="22"/>
        </w:rPr>
        <w:t>：柔和深色投影，使面板从背景中"浮起"。</w:t>
      </w:r>
    </w:p>
    <w:p w14:paraId="0A93C9A4">
      <w:pPr>
        <w:spacing w:before="300" w:after="120" w:line="288" w:lineRule="auto"/>
        <w:ind w:left="0"/>
        <w:jc w:val="left"/>
        <w:outlineLvl w:val="2"/>
      </w:pPr>
      <w:bookmarkStart w:id="50" w:name="heading_50"/>
      <w:r>
        <w:rPr>
          <w:rFonts w:ascii="Arial" w:hAnsi="Arial" w:eastAsia="等线" w:cs="Arial"/>
          <w:b/>
          <w:sz w:val="30"/>
        </w:rPr>
        <w:t>6.1.3 空间与透视</w:t>
      </w:r>
      <w:bookmarkEnd w:id="50"/>
    </w:p>
    <w:p w14:paraId="729E66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仪表盘图标透视效果</w:t>
      </w:r>
      <w:r>
        <w:rPr>
          <w:rFonts w:ascii="Arial" w:hAnsi="Arial" w:eastAsia="等线" w:cs="Arial"/>
          <w:sz w:val="22"/>
        </w:rPr>
        <w:t>：仪表盘内所有图标界面统一采用 3D 透视处理，绕 Y 轴向内旋转 15°-25°，营造向中心汇聚的驾驶舱纵深感。</w:t>
      </w:r>
    </w:p>
    <w:p w14:paraId="562FA8D0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透视规则</w:t>
      </w:r>
      <w:r>
        <w:rPr>
          <w:rFonts w:ascii="Arial" w:hAnsi="Arial" w:eastAsia="等线" w:cs="Arial"/>
          <w:sz w:val="22"/>
        </w:rPr>
        <w:t>：左侧面板向右旋转（perspective-origin 偏左），右侧面板向左旋转，中间面板正视微仰，整体呈弧形围合布局。</w:t>
      </w:r>
    </w:p>
    <w:p w14:paraId="0D5DB2A4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纵深层级</w:t>
      </w:r>
      <w:r>
        <w:rPr>
          <w:rFonts w:ascii="Arial" w:hAnsi="Arial" w:eastAsia="等线" w:cs="Arial"/>
          <w:sz w:val="22"/>
        </w:rPr>
        <w:t>：前景数据卡片（最近层）→ 中景图表 → 背景装饰光带，三层空间叠加增强沉浸感。</w:t>
      </w:r>
    </w:p>
    <w:p w14:paraId="78888A5A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交互联动</w:t>
      </w:r>
      <w:r>
        <w:rPr>
          <w:rFonts w:ascii="Arial" w:hAnsi="Arial" w:eastAsia="等线" w:cs="Arial"/>
          <w:sz w:val="22"/>
        </w:rPr>
        <w:t>：鼠标悬停时透视角度轻微回弹至正视，配合光晕增强，形成"拉近聚焦"的交互反馈。</w:t>
      </w:r>
    </w:p>
    <w:p w14:paraId="0300FFBE">
      <w:pPr>
        <w:spacing w:before="300" w:after="120" w:line="288" w:lineRule="auto"/>
        <w:ind w:left="0"/>
        <w:jc w:val="left"/>
        <w:outlineLvl w:val="2"/>
      </w:pPr>
      <w:bookmarkStart w:id="51" w:name="heading_51"/>
      <w:r>
        <w:rPr>
          <w:rFonts w:ascii="Arial" w:hAnsi="Arial" w:eastAsia="等线" w:cs="Arial"/>
          <w:b/>
          <w:sz w:val="30"/>
        </w:rPr>
        <w:t>6.1.4 背景动效</w:t>
      </w:r>
      <w:bookmarkEnd w:id="51"/>
    </w:p>
    <w:p w14:paraId="3671AC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背景搭载三层动态视觉元素，共同构建科技作战室氛围：</w:t>
      </w:r>
    </w:p>
    <w:p w14:paraId="321A1CDC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火焰光带</w:t>
      </w:r>
      <w:r>
        <w:rPr>
          <w:rFonts w:ascii="Arial" w:hAnsi="Arial" w:eastAsia="等线" w:cs="Arial"/>
          <w:sz w:val="22"/>
        </w:rPr>
        <w:t>：橙红到暖金渐变的流动光带，沿页面边缘与分割线持续缓慢流动，速度 2-3px/s，模拟能量传输效果。</w:t>
      </w:r>
    </w:p>
    <w:p w14:paraId="73D8C993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粒子光点</w:t>
      </w:r>
      <w:r>
        <w:rPr>
          <w:rFonts w:ascii="Arial" w:hAnsi="Arial" w:eastAsia="等线" w:cs="Arial"/>
          <w:sz w:val="22"/>
        </w:rPr>
        <w:t>：随机分布的金色粒子光点，持续缓慢位移与微弱明暗变化，密度随页面区域动态调整（数据密集区粒子更密）。</w:t>
      </w:r>
    </w:p>
    <w:p w14:paraId="5E6BA206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科技网络地面</w:t>
      </w:r>
      <w:r>
        <w:rPr>
          <w:rFonts w:ascii="Arial" w:hAnsi="Arial" w:eastAsia="等线" w:cs="Arial"/>
          <w:sz w:val="22"/>
        </w:rPr>
        <w:t>：页面底部铺设透视网格地面，节点与连线构成网络拓扑结构，节点随数据更新脉冲发光，连线模拟数据流转。</w:t>
      </w:r>
    </w:p>
    <w:tbl>
      <w:tblPr>
        <w:tblStyle w:val="2"/>
        <w:tblW w:w="0" w:type="auto"/>
        <w:tblInd w:w="0" w:type="dxa"/>
        <w:tblBorders>
          <w:top w:val="single" w:color="F98E8B" w:sz="0" w:space="0"/>
          <w:left w:val="single" w:color="F98E8B" w:sz="0" w:space="0"/>
          <w:bottom w:val="single" w:color="F98E8B" w:sz="0" w:space="0"/>
          <w:right w:val="single" w:color="F98E8B" w:sz="0" w:space="0"/>
          <w:insideH w:val="single" w:color="F98E8B" w:sz="0" w:space="0"/>
          <w:insideV w:val="single" w:color="F98E8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0C73657">
        <w:tblPrEx>
          <w:tblBorders>
            <w:top w:val="single" w:color="F98E8B" w:sz="0" w:space="0"/>
            <w:left w:val="single" w:color="F98E8B" w:sz="0" w:space="0"/>
            <w:bottom w:val="single" w:color="F98E8B" w:sz="0" w:space="0"/>
            <w:right w:val="single" w:color="F98E8B" w:sz="0" w:space="0"/>
            <w:insideH w:val="single" w:color="F98E8B" w:sz="0" w:space="0"/>
            <w:insideV w:val="single" w:color="F98E8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EF1F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08E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性能约束</w:t>
            </w:r>
            <w:r>
              <w:rPr>
                <w:rFonts w:ascii="Arial" w:hAnsi="Arial" w:eastAsia="等线" w:cs="Arial"/>
                <w:sz w:val="22"/>
              </w:rPr>
              <w:t>：背景动效全部使用 CSS 动画 + Canvas 粒子实现，帧率控制在 30fps 以下，低端设备自动降级为静态背景。</w:t>
            </w:r>
          </w:p>
        </w:tc>
      </w:tr>
    </w:tbl>
    <w:p w14:paraId="057ACEC2">
      <w:pPr>
        <w:spacing w:before="300" w:after="120" w:line="288" w:lineRule="auto"/>
        <w:ind w:left="0"/>
        <w:jc w:val="left"/>
        <w:outlineLvl w:val="2"/>
      </w:pPr>
      <w:bookmarkStart w:id="52" w:name="heading_52"/>
      <w:r>
        <w:rPr>
          <w:rFonts w:ascii="Arial" w:hAnsi="Arial" w:eastAsia="等线" w:cs="Arial"/>
          <w:b/>
          <w:sz w:val="30"/>
        </w:rPr>
        <w:t>6.1.5 仪表盘组件库</w:t>
      </w:r>
      <w:bookmarkEnd w:id="52"/>
    </w:p>
    <w:p w14:paraId="783AC8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整体为</w:t>
      </w:r>
      <w:r>
        <w:rPr>
          <w:rFonts w:ascii="Arial" w:hAnsi="Arial" w:eastAsia="等线" w:cs="Arial"/>
          <w:b/>
          <w:sz w:val="22"/>
        </w:rPr>
        <w:t>项目作战总览驾驶舱</w:t>
      </w:r>
      <w:r>
        <w:rPr>
          <w:rFonts w:ascii="Arial" w:hAnsi="Arial" w:eastAsia="等线" w:cs="Arial"/>
          <w:sz w:val="22"/>
        </w:rPr>
        <w:t>布局，包含以下核心图表组件，统一遵循上述视觉规范：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5"/>
        <w:gridCol w:w="3315"/>
        <w:gridCol w:w="2760"/>
      </w:tblGrid>
      <w:tr w14:paraId="1B4592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BFC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组件名称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7B8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371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视觉特征</w:t>
            </w:r>
          </w:p>
        </w:tc>
      </w:tr>
      <w:tr w14:paraId="28759C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0B3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环形进度图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CB6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展示项目/任务完成率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602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暖金渐变环 + 中心发光数值</w:t>
            </w:r>
          </w:p>
        </w:tc>
      </w:tr>
      <w:tr w14:paraId="5E25F9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C16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热力地图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3A2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展示团队负载与风险分布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1CE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红橙黄绿四色阶 + 格点发光</w:t>
            </w:r>
          </w:p>
        </w:tc>
      </w:tr>
      <w:tr w14:paraId="4E12A6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114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折线实时数据流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4F7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展示进度趋势、缺陷新增趋势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463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流动光带 + 端点脉冲光点</w:t>
            </w:r>
          </w:p>
        </w:tc>
      </w:tr>
      <w:tr w14:paraId="45F1C8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47D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条形优先看板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B40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展示优先级任务分布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FC9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横向发光条 + 左侧色标</w:t>
            </w:r>
          </w:p>
        </w:tc>
      </w:tr>
      <w:tr w14:paraId="59F30D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729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风险告警日历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EB7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展示延期风险与里程碑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6C3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日历格 + 风险日期红点脉冲</w:t>
            </w:r>
          </w:p>
        </w:tc>
      </w:tr>
      <w:tr w14:paraId="392251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D11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数据指标卡片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962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展示核心 KPI 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C92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玻璃面板 + 大号发光数字</w:t>
            </w:r>
          </w:p>
        </w:tc>
      </w:tr>
    </w:tbl>
    <w:p w14:paraId="24D0686A">
      <w:pPr>
        <w:spacing w:before="320" w:after="120" w:line="288" w:lineRule="auto"/>
        <w:ind w:left="0"/>
        <w:jc w:val="left"/>
        <w:outlineLvl w:val="1"/>
      </w:pPr>
      <w:bookmarkStart w:id="53" w:name="heading_53"/>
      <w:r>
        <w:rPr>
          <w:rFonts w:ascii="Arial" w:hAnsi="Arial" w:eastAsia="等线" w:cs="Arial"/>
          <w:b/>
          <w:sz w:val="32"/>
        </w:rPr>
        <w:t>6.2 交互动画规范</w:t>
      </w:r>
      <w:bookmarkEnd w:id="53"/>
    </w:p>
    <w:p w14:paraId="49E76B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所有动画遵循"沉稳持续、柔和过渡、性能优先"的原则，避免突兀闪烁与剧烈运动，确保驾驶舱整体氛围的专业感与沉浸感。</w:t>
      </w:r>
    </w:p>
    <w:p w14:paraId="2AA1703A">
      <w:pPr>
        <w:spacing w:before="300" w:after="120" w:line="288" w:lineRule="auto"/>
        <w:ind w:left="0"/>
        <w:jc w:val="left"/>
        <w:outlineLvl w:val="2"/>
      </w:pPr>
      <w:bookmarkStart w:id="54" w:name="heading_54"/>
      <w:r>
        <w:rPr>
          <w:rFonts w:ascii="Arial" w:hAnsi="Arial" w:eastAsia="等线" w:cs="Arial"/>
          <w:b/>
          <w:sz w:val="30"/>
        </w:rPr>
        <w:t>6.2.1 静默空闲状态（Idle）</w:t>
      </w:r>
      <w:bookmarkEnd w:id="54"/>
    </w:p>
    <w:p w14:paraId="13EAC2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界面处于无交互的空闲状态时，所有元素维持低速、持续的微动态，保持画面活力但不干扰阅读。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5"/>
        <w:gridCol w:w="3870"/>
        <w:gridCol w:w="2205"/>
      </w:tblGrid>
      <w:tr w14:paraId="6384B1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5CA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动画对象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0E0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动画描述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A35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参数规范</w:t>
            </w:r>
          </w:p>
        </w:tc>
      </w:tr>
      <w:tr w14:paraId="68C1D5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140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面板缓动浮动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47B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所有界面元素沿 Y 轴上下缓动，模拟悬浮感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98B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三角形 sin 波，周期 6s，幅度 4px</w:t>
            </w:r>
          </w:p>
        </w:tc>
      </w:tr>
      <w:tr w14:paraId="79C6B9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667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光晕呼吸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EBB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面板边框光晕与发光文字明暗交替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AB8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3.5s ease-in-out 无限循环，透明度 60%↔100%</w:t>
            </w:r>
          </w:p>
        </w:tc>
      </w:tr>
      <w:tr w14:paraId="34A976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F28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数据流流动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0CF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折线图曲线、数据点沿路径缓慢平滑更新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F6C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线性流动，速度 1px/s，循环无缝衔接</w:t>
            </w:r>
          </w:p>
        </w:tc>
      </w:tr>
      <w:tr w14:paraId="6FB7C8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8D6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背景火焰流光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49F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背景光带沿路径持续流动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6C8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线性渐变位移，速度 2-3px/s</w:t>
            </w:r>
          </w:p>
        </w:tc>
      </w:tr>
      <w:tr w14:paraId="6270F9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75F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粒子位移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904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背景粒子光点缓慢漂移与明暗变化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AFC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随机方向，速度 0.5-1px/s，无闪烁</w:t>
            </w:r>
          </w:p>
        </w:tc>
      </w:tr>
    </w:tbl>
    <w:p w14:paraId="2824CDEA"/>
    <w:tbl>
      <w:tblPr>
        <w:tblStyle w:val="2"/>
        <w:tblW w:w="0" w:type="auto"/>
        <w:tblInd w:w="0" w:type="dxa"/>
        <w:tblBorders>
          <w:top w:val="single" w:color="82A7FC" w:sz="0" w:space="0"/>
          <w:left w:val="single" w:color="82A7FC" w:sz="0" w:space="0"/>
          <w:bottom w:val="single" w:color="82A7FC" w:sz="0" w:space="0"/>
          <w:right w:val="single" w:color="82A7FC" w:sz="0" w:space="0"/>
          <w:insideH w:val="single" w:color="82A7FC" w:sz="0" w:space="0"/>
          <w:insideV w:val="single" w:color="82A7FC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6E25B76">
        <w:tblPrEx>
          <w:tblBorders>
            <w:top w:val="single" w:color="82A7FC" w:sz="0" w:space="0"/>
            <w:left w:val="single" w:color="82A7FC" w:sz="0" w:space="0"/>
            <w:bottom w:val="single" w:color="82A7FC" w:sz="0" w:space="0"/>
            <w:right w:val="single" w:color="82A7FC" w:sz="0" w:space="0"/>
            <w:insideH w:val="single" w:color="82A7FC" w:sz="0" w:space="0"/>
            <w:insideV w:val="single" w:color="82A7F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EBF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整体原则</w:t>
            </w:r>
            <w:r>
              <w:rPr>
                <w:rFonts w:ascii="Arial" w:hAnsi="Arial" w:eastAsia="等线" w:cs="Arial"/>
                <w:sz w:val="22"/>
              </w:rPr>
              <w:t>：空闲状态下所有动画均为柔和缓动，不出现突兀闪烁或剧烈闪动，整体氛围沉稳、持续、有呼吸感。</w:t>
            </w:r>
          </w:p>
        </w:tc>
      </w:tr>
    </w:tbl>
    <w:p w14:paraId="26B0288F">
      <w:pPr>
        <w:spacing w:before="300" w:after="120" w:line="288" w:lineRule="auto"/>
        <w:ind w:left="0"/>
        <w:jc w:val="left"/>
        <w:outlineLvl w:val="2"/>
      </w:pPr>
      <w:bookmarkStart w:id="55" w:name="heading_55"/>
      <w:r>
        <w:rPr>
          <w:rFonts w:ascii="Arial" w:hAnsi="Arial" w:eastAsia="等线" w:cs="Arial"/>
          <w:b/>
          <w:sz w:val="30"/>
        </w:rPr>
        <w:t>6.2.2 点击交互与视图切换</w:t>
      </w:r>
      <w:bookmarkEnd w:id="55"/>
    </w:p>
    <w:p w14:paraId="5FF832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用户触发交互（点击面板、切换视图、筛选数据等）时，采用统一的过渡动画规范：</w:t>
      </w:r>
    </w:p>
    <w:p w14:paraId="735C1D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过渡动画参数</w:t>
      </w:r>
      <w:r>
        <w:rPr>
          <w:rFonts w:ascii="Arial" w:hAnsi="Arial" w:eastAsia="等线" w:cs="Arial"/>
          <w:sz w:val="22"/>
        </w:rPr>
        <w:t>：</w:t>
      </w:r>
    </w:p>
    <w:p w14:paraId="00F205F6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动画类型</w:t>
      </w:r>
      <w:r>
        <w:rPr>
          <w:rFonts w:ascii="Arial" w:hAnsi="Arial" w:eastAsia="等线" w:cs="Arial"/>
          <w:sz w:val="22"/>
        </w:rPr>
        <w:t>：补间 Tween 过渡动画</w:t>
      </w:r>
    </w:p>
    <w:p w14:paraId="5A63590E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缓动函数</w:t>
      </w:r>
      <w:r>
        <w:rPr>
          <w:rFonts w:ascii="Arial" w:hAnsi="Arial" w:eastAsia="等线" w:cs="Arial"/>
          <w:sz w:val="22"/>
        </w:rPr>
        <w:t>：cubic-bezier(0.22, 1, 0.36, 1)（快出慢入，末端有弹性回弹感）</w:t>
      </w:r>
    </w:p>
    <w:p w14:paraId="52DD46D1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时长规范</w:t>
      </w:r>
      <w:r>
        <w:rPr>
          <w:rFonts w:ascii="Arial" w:hAnsi="Arial" w:eastAsia="等线" w:cs="Arial"/>
          <w:sz w:val="22"/>
        </w:rPr>
        <w:t>：面板切换 300ms，数据更新 200ms，弹窗出现 250ms</w:t>
      </w:r>
    </w:p>
    <w:p w14:paraId="262F500F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实现方式</w:t>
      </w:r>
      <w:r>
        <w:rPr>
          <w:rFonts w:ascii="Arial" w:hAnsi="Arial" w:eastAsia="等线" w:cs="Arial"/>
          <w:sz w:val="22"/>
        </w:rPr>
        <w:t>：所有动画使用 transform + opacity 实现，严禁触发 layout 重排，避免布局抖动</w:t>
      </w:r>
    </w:p>
    <w:p w14:paraId="2991AC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动画分层策略</w:t>
      </w:r>
      <w:r>
        <w:rPr>
          <w:rFonts w:ascii="Arial" w:hAnsi="Arial" w:eastAsia="等线" w:cs="Arial"/>
          <w:sz w:val="22"/>
        </w:rPr>
        <w:t>：</w:t>
      </w:r>
    </w:p>
    <w:p w14:paraId="07C582FB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核心层（高优先级）</w:t>
      </w:r>
      <w:r>
        <w:rPr>
          <w:rFonts w:ascii="Arial" w:hAnsi="Arial" w:eastAsia="等线" w:cs="Arial"/>
          <w:sz w:val="22"/>
        </w:rPr>
        <w:t>：主面板切换、关键数据变化 — 完整动画强度，100% 动效参数。</w:t>
      </w:r>
    </w:p>
    <w:p w14:paraId="2D2CA200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辅助层（中优先级）</w:t>
      </w:r>
      <w:r>
        <w:rPr>
          <w:rFonts w:ascii="Arial" w:hAnsi="Arial" w:eastAsia="等线" w:cs="Arial"/>
          <w:sz w:val="22"/>
        </w:rPr>
        <w:t>：次级标签、装饰元素 — 降低动画强度（时长缩短 30%、幅度减小 50%）。</w:t>
      </w:r>
    </w:p>
    <w:p w14:paraId="205F2425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背景层（低优先级）</w:t>
      </w:r>
      <w:r>
        <w:rPr>
          <w:rFonts w:ascii="Arial" w:hAnsi="Arial" w:eastAsia="等线" w:cs="Arial"/>
          <w:sz w:val="22"/>
        </w:rPr>
        <w:t>：背景粒子、光带 — 维持空闲态低速动画，不随交互加速。</w:t>
      </w:r>
    </w:p>
    <w:p w14:paraId="1BF044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告警动态</w:t>
      </w:r>
      <w:r>
        <w:rPr>
          <w:rFonts w:ascii="Arial" w:hAnsi="Arial" w:eastAsia="等线" w:cs="Arial"/>
          <w:sz w:val="22"/>
        </w:rPr>
        <w:t>：</w:t>
      </w:r>
    </w:p>
    <w:p w14:paraId="079CEF00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仅异常数据（延期、风险、告警）启用动态告警效果（红色脉冲、边框闪烁）。</w:t>
      </w:r>
    </w:p>
    <w:p w14:paraId="04A37A3C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常态数据保持柔和缓动，不做额外强调，避免视觉噪音。</w:t>
      </w:r>
    </w:p>
    <w:p w14:paraId="6BC25F1D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告警动画频率：脉冲间隔 2s，每次脉冲持续 500ms，明暗幅度 40%。</w:t>
      </w:r>
    </w:p>
    <w:p w14:paraId="669FD7A5">
      <w:pPr>
        <w:spacing w:before="300" w:after="120" w:line="288" w:lineRule="auto"/>
        <w:ind w:left="0"/>
        <w:jc w:val="left"/>
        <w:outlineLvl w:val="2"/>
      </w:pPr>
      <w:bookmarkStart w:id="56" w:name="heading_56"/>
      <w:r>
        <w:rPr>
          <w:rFonts w:ascii="Arial" w:hAnsi="Arial" w:eastAsia="等线" w:cs="Arial"/>
          <w:b/>
          <w:sz w:val="30"/>
        </w:rPr>
        <w:t>6.2.3 性能与降级策略</w:t>
      </w:r>
      <w:bookmarkEnd w:id="5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3585"/>
        <w:gridCol w:w="2760"/>
      </w:tblGrid>
      <w:tr w14:paraId="7EB80C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C62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设备等级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BDE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动画策略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4A0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降级规则</w:t>
            </w:r>
          </w:p>
        </w:tc>
      </w:tr>
      <w:tr w14:paraId="1ACB8E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141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高性能设备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092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全量动画 + 粒子背景 + 3D 透视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095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默认开启全部效果</w:t>
            </w:r>
          </w:p>
        </w:tc>
      </w:tr>
      <w:tr w14:paraId="755CB6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F28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中等性能设备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C1D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核心动画 + 简化粒子 + 透视保留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177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粒子数量减半，关闭背景光带</w:t>
            </w:r>
          </w:p>
        </w:tc>
      </w:tr>
      <w:tr w14:paraId="380109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BF4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低性能设备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DC3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仅必要过渡动画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8B7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关闭粒子、光带、透视，静态背景</w:t>
            </w:r>
          </w:p>
        </w:tc>
      </w:tr>
      <w:tr w14:paraId="274B74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190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省电模式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03C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全部动画关闭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25E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静态界面，仅保留交互反馈</w:t>
            </w:r>
          </w:p>
        </w:tc>
      </w:tr>
    </w:tbl>
    <w:p w14:paraId="504F98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系统自动检测设备性能与电池状态，动态调整动画强度，确保流畅体验优先于视觉效果。</w:t>
      </w:r>
    </w:p>
    <w:p w14:paraId="529DB8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：在模板基础上，支持灵活的字段与流程定制，满足不同团队的个性化需求。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3585"/>
        <w:gridCol w:w="2760"/>
      </w:tblGrid>
      <w:tr w14:paraId="35814D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8D2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定制维度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0B8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D5E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配置方式</w:t>
            </w:r>
          </w:p>
        </w:tc>
      </w:tr>
      <w:tr w14:paraId="275080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EE2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自定义字段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EA5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为任务/需求/缺陷添加自定义字段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02D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字段管理后台配置</w:t>
            </w:r>
          </w:p>
        </w:tc>
      </w:tr>
      <w:tr w14:paraId="0759FE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E95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自定义状态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841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调整工作流状态与流转规则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36D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可视化流程编辑器</w:t>
            </w:r>
          </w:p>
        </w:tc>
      </w:tr>
      <w:tr w14:paraId="3299D2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B92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自定义视图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ABD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配置列表展示字段、筛选条件、排序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549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视图编辑器</w:t>
            </w:r>
          </w:p>
        </w:tc>
      </w:tr>
      <w:tr w14:paraId="19074D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C04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自定义角色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A37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创建自定义角色与权限组合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0B7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角色权限管理</w:t>
            </w:r>
          </w:p>
        </w:tc>
      </w:tr>
      <w:tr w14:paraId="6AEE53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4F2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自定义通知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642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配置事件触发的通知规则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4D2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通知规则配置</w:t>
            </w:r>
          </w:p>
        </w:tc>
      </w:tr>
    </w:tbl>
    <w:p w14:paraId="18D09D7B">
      <w:pPr>
        <w:spacing w:before="380" w:after="140" w:line="288" w:lineRule="auto"/>
        <w:ind w:left="0"/>
        <w:jc w:val="left"/>
        <w:outlineLvl w:val="0"/>
      </w:pPr>
      <w:bookmarkStart w:id="57" w:name="heading_57"/>
      <w:r>
        <w:rPr>
          <w:rFonts w:ascii="Arial" w:hAnsi="Arial" w:eastAsia="等线" w:cs="Arial"/>
          <w:b/>
          <w:sz w:val="36"/>
        </w:rPr>
        <w:t>七、权限与安全</w:t>
      </w:r>
      <w:bookmarkEnd w:id="57"/>
    </w:p>
    <w:p w14:paraId="44FF759D">
      <w:pPr>
        <w:spacing w:before="320" w:after="120" w:line="288" w:lineRule="auto"/>
        <w:ind w:left="0"/>
        <w:jc w:val="left"/>
        <w:outlineLvl w:val="1"/>
      </w:pPr>
      <w:bookmarkStart w:id="58" w:name="heading_58"/>
      <w:r>
        <w:rPr>
          <w:rFonts w:ascii="Arial" w:hAnsi="Arial" w:eastAsia="等线" w:cs="Arial"/>
          <w:b/>
          <w:sz w:val="32"/>
        </w:rPr>
        <w:t>7.1 角色权限体系</w:t>
      </w:r>
      <w:bookmarkEnd w:id="58"/>
    </w:p>
    <w:p w14:paraId="31A456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：基于角色的权限控制（RBAC），确保不同角色只能访问和操作其职责范围内的数据与功能。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3870"/>
        <w:gridCol w:w="2760"/>
      </w:tblGrid>
      <w:tr w14:paraId="160A82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D8C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458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权限范围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8E2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典型用户</w:t>
            </w:r>
          </w:p>
        </w:tc>
      </w:tr>
      <w:tr w14:paraId="6D415E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A6D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系统管理员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53C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全局配置、用户管理、模板管理、系统设置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A37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IT 管理员</w:t>
            </w:r>
          </w:p>
        </w:tc>
      </w:tr>
      <w:tr w14:paraId="7031FA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5CD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项目管理员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AE0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项目创建、成员管理、配置管理、数据导出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8E3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项目经理 / PMO</w:t>
            </w:r>
          </w:p>
        </w:tc>
      </w:tr>
      <w:tr w14:paraId="345563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400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项目成员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77A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任务查看与更新、需求提交、缺陷录入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F81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研发 / 测试 / 产品</w:t>
            </w:r>
          </w:p>
        </w:tc>
      </w:tr>
      <w:tr w14:paraId="66AFD4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B59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只读用户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1B6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查看项目数据，不可编辑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9D3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领导 / 外部协作方</w:t>
            </w:r>
          </w:p>
        </w:tc>
      </w:tr>
      <w:tr w14:paraId="0FD664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6FC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访客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9BA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仅查看被授权的特定内容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F60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临时协作者</w:t>
            </w:r>
          </w:p>
        </w:tc>
      </w:tr>
    </w:tbl>
    <w:p w14:paraId="3C0987C3">
      <w:pPr>
        <w:spacing w:before="320" w:after="120" w:line="288" w:lineRule="auto"/>
        <w:ind w:left="0"/>
        <w:jc w:val="left"/>
        <w:outlineLvl w:val="1"/>
      </w:pPr>
      <w:bookmarkStart w:id="59" w:name="heading_59"/>
      <w:r>
        <w:rPr>
          <w:rFonts w:ascii="Arial" w:hAnsi="Arial" w:eastAsia="等线" w:cs="Arial"/>
          <w:b/>
          <w:sz w:val="32"/>
        </w:rPr>
        <w:t>7.2 数据安全</w:t>
      </w:r>
      <w:bookmarkEnd w:id="59"/>
    </w:p>
    <w:p w14:paraId="181D4628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数据隔离</w:t>
      </w:r>
      <w:r>
        <w:rPr>
          <w:rFonts w:ascii="Arial" w:hAnsi="Arial" w:eastAsia="等线" w:cs="Arial"/>
          <w:sz w:val="22"/>
        </w:rPr>
        <w:t>：不同项目/团队的数据严格隔离，权限外不可见。</w:t>
      </w:r>
    </w:p>
    <w:p w14:paraId="4641F75C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操作日志</w:t>
      </w:r>
      <w:r>
        <w:rPr>
          <w:rFonts w:ascii="Arial" w:hAnsi="Arial" w:eastAsia="等线" w:cs="Arial"/>
          <w:sz w:val="22"/>
        </w:rPr>
        <w:t>：所有关键操作记录日志，支持审计追溯。</w:t>
      </w:r>
    </w:p>
    <w:p w14:paraId="3F8AF0CF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数据备份</w:t>
      </w:r>
      <w:r>
        <w:rPr>
          <w:rFonts w:ascii="Arial" w:hAnsi="Arial" w:eastAsia="等线" w:cs="Arial"/>
          <w:sz w:val="22"/>
        </w:rPr>
        <w:t>：定期自动备份，支持数据恢复。</w:t>
      </w:r>
    </w:p>
    <w:p w14:paraId="4ADBEF7C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传输加密</w:t>
      </w:r>
      <w:r>
        <w:rPr>
          <w:rFonts w:ascii="Arial" w:hAnsi="Arial" w:eastAsia="等线" w:cs="Arial"/>
          <w:sz w:val="22"/>
        </w:rPr>
        <w:t>：数据传输全程 HTTPS 加密。</w:t>
      </w:r>
    </w:p>
    <w:p w14:paraId="617B6E77">
      <w:pPr>
        <w:spacing w:before="380" w:after="140" w:line="288" w:lineRule="auto"/>
        <w:ind w:left="0"/>
        <w:jc w:val="left"/>
        <w:outlineLvl w:val="0"/>
      </w:pPr>
      <w:bookmarkStart w:id="60" w:name="heading_60"/>
      <w:r>
        <w:rPr>
          <w:rFonts w:ascii="Arial" w:hAnsi="Arial" w:eastAsia="等线" w:cs="Arial"/>
          <w:b/>
          <w:sz w:val="36"/>
        </w:rPr>
        <w:t>八、非功能需求</w:t>
      </w:r>
      <w:bookmarkEnd w:id="60"/>
    </w:p>
    <w:p w14:paraId="3C718F52">
      <w:pPr>
        <w:spacing w:before="320" w:after="120" w:line="288" w:lineRule="auto"/>
        <w:ind w:left="0"/>
        <w:jc w:val="left"/>
        <w:outlineLvl w:val="1"/>
      </w:pPr>
      <w:bookmarkStart w:id="61" w:name="heading_61"/>
      <w:r>
        <w:rPr>
          <w:rFonts w:ascii="Arial" w:hAnsi="Arial" w:eastAsia="等线" w:cs="Arial"/>
          <w:b/>
          <w:sz w:val="32"/>
        </w:rPr>
        <w:t>8.1 性能要求</w:t>
      </w:r>
      <w:bookmarkEnd w:id="6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90"/>
        <w:gridCol w:w="5790"/>
      </w:tblGrid>
      <w:tr w14:paraId="6FFC0E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053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</w:t>
            </w:r>
          </w:p>
        </w:tc>
        <w:tc>
          <w:tcPr>
            <w:tcW w:w="5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293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要求</w:t>
            </w:r>
          </w:p>
        </w:tc>
      </w:tr>
      <w:tr w14:paraId="12D63C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964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页面加载时间</w:t>
            </w:r>
          </w:p>
        </w:tc>
        <w:tc>
          <w:tcPr>
            <w:tcW w:w="5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2CA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首屏加载 ≤ 2 秒，列表页 ≤ 1.5 秒</w:t>
            </w:r>
          </w:p>
        </w:tc>
      </w:tr>
      <w:tr w14:paraId="51225D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03D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甘特图渲染</w:t>
            </w:r>
          </w:p>
        </w:tc>
        <w:tc>
          <w:tcPr>
            <w:tcW w:w="5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B7E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 个任务以内渲染 ≤ 1 秒</w:t>
            </w:r>
          </w:p>
        </w:tc>
      </w:tr>
      <w:tr w14:paraId="2C49BC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49A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仪表盘数据加载</w:t>
            </w:r>
          </w:p>
        </w:tc>
        <w:tc>
          <w:tcPr>
            <w:tcW w:w="5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243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核心指标卡片 ≤ 1 秒返回</w:t>
            </w:r>
          </w:p>
        </w:tc>
      </w:tr>
      <w:tr w14:paraId="733AEE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DD6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并发支持</w:t>
            </w:r>
          </w:p>
        </w:tc>
        <w:tc>
          <w:tcPr>
            <w:tcW w:w="5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6C8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 1000 人同时在线使用</w:t>
            </w:r>
          </w:p>
        </w:tc>
      </w:tr>
      <w:tr w14:paraId="4330B8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235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搜索响应</w:t>
            </w:r>
          </w:p>
        </w:tc>
        <w:tc>
          <w:tcPr>
            <w:tcW w:w="5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798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全文搜索响应时间 ≤ 500ms</w:t>
            </w:r>
          </w:p>
        </w:tc>
      </w:tr>
    </w:tbl>
    <w:p w14:paraId="12C2EFB3">
      <w:pPr>
        <w:spacing w:before="320" w:after="120" w:line="288" w:lineRule="auto"/>
        <w:ind w:left="0"/>
        <w:jc w:val="left"/>
        <w:outlineLvl w:val="1"/>
      </w:pPr>
      <w:bookmarkStart w:id="62" w:name="heading_62"/>
      <w:r>
        <w:rPr>
          <w:rFonts w:ascii="Arial" w:hAnsi="Arial" w:eastAsia="等线" w:cs="Arial"/>
          <w:b/>
          <w:sz w:val="32"/>
        </w:rPr>
        <w:t>8.2 可用性要求</w:t>
      </w:r>
      <w:bookmarkEnd w:id="62"/>
    </w:p>
    <w:p w14:paraId="40011718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系统可用性</w:t>
      </w:r>
      <w:r>
        <w:rPr>
          <w:rFonts w:ascii="Arial" w:hAnsi="Arial" w:eastAsia="等线" w:cs="Arial"/>
          <w:sz w:val="22"/>
        </w:rPr>
        <w:t>：≥ 99.9%，月度不可用时间不超过 43 分钟。</w:t>
      </w:r>
    </w:p>
    <w:p w14:paraId="0DE90ADD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易用性</w:t>
      </w:r>
      <w:r>
        <w:rPr>
          <w:rFonts w:ascii="Arial" w:hAnsi="Arial" w:eastAsia="等线" w:cs="Arial"/>
          <w:sz w:val="22"/>
        </w:rPr>
        <w:t>：核心操作不超过 3 步完成，新用户 10 分钟内可上手。</w:t>
      </w:r>
    </w:p>
    <w:p w14:paraId="06D859A0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兼容性</w:t>
      </w:r>
      <w:r>
        <w:rPr>
          <w:rFonts w:ascii="Arial" w:hAnsi="Arial" w:eastAsia="等线" w:cs="Arial"/>
          <w:sz w:val="22"/>
        </w:rPr>
        <w:t>：支持主流浏览器（Chrome、Safari、Edge、Firefox 最新两个版本）。</w:t>
      </w:r>
    </w:p>
    <w:p w14:paraId="64A4AB7D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响应式</w:t>
      </w:r>
      <w:r>
        <w:rPr>
          <w:rFonts w:ascii="Arial" w:hAnsi="Arial" w:eastAsia="等线" w:cs="Arial"/>
          <w:sz w:val="22"/>
        </w:rPr>
        <w:t>：支持桌面端与平板端自适应，移动端提供轻量视图。</w:t>
      </w:r>
    </w:p>
    <w:p w14:paraId="4AE92BB2">
      <w:pPr>
        <w:spacing w:before="320" w:after="120" w:line="288" w:lineRule="auto"/>
        <w:ind w:left="0"/>
        <w:jc w:val="left"/>
        <w:outlineLvl w:val="1"/>
      </w:pPr>
      <w:bookmarkStart w:id="63" w:name="heading_63"/>
      <w:r>
        <w:rPr>
          <w:rFonts w:ascii="Arial" w:hAnsi="Arial" w:eastAsia="等线" w:cs="Arial"/>
          <w:b/>
          <w:sz w:val="32"/>
        </w:rPr>
        <w:t>8.3 扩展性要求</w:t>
      </w:r>
      <w:bookmarkEnd w:id="63"/>
    </w:p>
    <w:p w14:paraId="1A4CF73F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模块化架构</w:t>
      </w:r>
      <w:r>
        <w:rPr>
          <w:rFonts w:ascii="Arial" w:hAnsi="Arial" w:eastAsia="等线" w:cs="Arial"/>
          <w:sz w:val="22"/>
        </w:rPr>
        <w:t>：功能模块解耦，支持独立升级与扩展。</w:t>
      </w:r>
    </w:p>
    <w:p w14:paraId="48349728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开放 API</w:t>
      </w:r>
      <w:r>
        <w:rPr>
          <w:rFonts w:ascii="Arial" w:hAnsi="Arial" w:eastAsia="等线" w:cs="Arial"/>
          <w:sz w:val="22"/>
        </w:rPr>
        <w:t>：提供 RESTful API，支持与第三方系统集成。</w:t>
      </w:r>
    </w:p>
    <w:p w14:paraId="22AA53F5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插件机制</w:t>
      </w:r>
      <w:r>
        <w:rPr>
          <w:rFonts w:ascii="Arial" w:hAnsi="Arial" w:eastAsia="等线" w:cs="Arial"/>
          <w:sz w:val="22"/>
        </w:rPr>
        <w:t>：预留插件扩展点，支持自定义功能扩展。</w:t>
      </w:r>
    </w:p>
    <w:p w14:paraId="7128306F">
      <w:pPr>
        <w:spacing w:before="380" w:after="140" w:line="288" w:lineRule="auto"/>
        <w:ind w:left="0"/>
        <w:jc w:val="left"/>
        <w:outlineLvl w:val="0"/>
      </w:pPr>
      <w:bookmarkStart w:id="64" w:name="heading_64"/>
      <w:r>
        <w:rPr>
          <w:rFonts w:ascii="Arial" w:hAnsi="Arial" w:eastAsia="等线" w:cs="Arial"/>
          <w:b/>
          <w:sz w:val="36"/>
        </w:rPr>
        <w:t>九、版本规划</w:t>
      </w:r>
      <w:bookmarkEnd w:id="64"/>
    </w:p>
    <w:p w14:paraId="2167F28D">
      <w:pPr>
        <w:spacing w:before="320" w:after="120" w:line="288" w:lineRule="auto"/>
        <w:ind w:left="0"/>
        <w:jc w:val="left"/>
        <w:outlineLvl w:val="1"/>
      </w:pPr>
      <w:bookmarkStart w:id="65" w:name="heading_65"/>
      <w:r>
        <w:rPr>
          <w:rFonts w:ascii="Arial" w:hAnsi="Arial" w:eastAsia="等线" w:cs="Arial"/>
          <w:b/>
          <w:sz w:val="32"/>
        </w:rPr>
        <w:t>9.1 V1.0 核心版本（MVP）</w:t>
      </w:r>
      <w:bookmarkEnd w:id="65"/>
    </w:p>
    <w:p w14:paraId="09005B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</w:t>
      </w:r>
      <w:r>
        <w:rPr>
          <w:rFonts w:ascii="Arial" w:hAnsi="Arial" w:eastAsia="等线" w:cs="Arial"/>
          <w:sz w:val="22"/>
        </w:rPr>
        <w:t>：实现项目管理核心闭环，满足基础使用需求。</w:t>
      </w:r>
    </w:p>
    <w:p w14:paraId="1A2A0C0F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项目与计划管理：创建项目、任务分解、状态更新</w:t>
      </w:r>
    </w:p>
    <w:p w14:paraId="2EE8D3E2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甘特图：基础时间轴视图、拖拽排期</w:t>
      </w:r>
    </w:p>
    <w:p w14:paraId="51113671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需求管理：需求池、基础字段、状态流转</w:t>
      </w:r>
    </w:p>
    <w:p w14:paraId="4EB3BC77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缺陷管理：缺陷录入、流转、基础统计</w:t>
      </w:r>
    </w:p>
    <w:p w14:paraId="65BBE911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仪表盘：核心指标卡片、进度概览</w:t>
      </w:r>
    </w:p>
    <w:p w14:paraId="23D8FCDD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基础通知：站内消息、任务提醒</w:t>
      </w:r>
    </w:p>
    <w:p w14:paraId="3ACCD296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权限管理：基础角色与权限控制</w:t>
      </w:r>
    </w:p>
    <w:p w14:paraId="2B2A38D9">
      <w:pPr>
        <w:spacing w:before="320" w:after="120" w:line="288" w:lineRule="auto"/>
        <w:ind w:left="0"/>
        <w:jc w:val="left"/>
        <w:outlineLvl w:val="1"/>
      </w:pPr>
      <w:bookmarkStart w:id="66" w:name="heading_66"/>
      <w:r>
        <w:rPr>
          <w:rFonts w:ascii="Arial" w:hAnsi="Arial" w:eastAsia="等线" w:cs="Arial"/>
          <w:b/>
          <w:sz w:val="32"/>
        </w:rPr>
        <w:t>9.2 V1.5 增强版本</w:t>
      </w:r>
      <w:bookmarkEnd w:id="66"/>
    </w:p>
    <w:p w14:paraId="0E7048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</w:t>
      </w:r>
      <w:r>
        <w:rPr>
          <w:rFonts w:ascii="Arial" w:hAnsi="Arial" w:eastAsia="等线" w:cs="Arial"/>
          <w:sz w:val="22"/>
        </w:rPr>
        <w:t>：完善协作与流程能力，提升使用体验。</w:t>
      </w:r>
    </w:p>
    <w:p w14:paraId="06583D68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审核批复：计划审核、任务验收、变更审批</w:t>
      </w:r>
    </w:p>
    <w:p w14:paraId="6ADD6FA4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模板体系：内置模板、自定义模板</w:t>
      </w:r>
    </w:p>
    <w:p w14:paraId="2F0A1FAB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甘特图增强：任务依赖、里程碑、基线对比</w:t>
      </w:r>
    </w:p>
    <w:p w14:paraId="11A99161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需求评审：线上评审流程、评审记录</w:t>
      </w:r>
    </w:p>
    <w:p w14:paraId="7EA52997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缺陷统计：多维度统计报表</w:t>
      </w:r>
    </w:p>
    <w:p w14:paraId="6B18FC62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IM 集成：飞书/企业微信消息推送</w:t>
      </w:r>
    </w:p>
    <w:p w14:paraId="35180AAE">
      <w:pPr>
        <w:spacing w:before="320" w:after="120" w:line="288" w:lineRule="auto"/>
        <w:ind w:left="0"/>
        <w:jc w:val="left"/>
        <w:outlineLvl w:val="1"/>
      </w:pPr>
      <w:bookmarkStart w:id="67" w:name="heading_67"/>
      <w:r>
        <w:rPr>
          <w:rFonts w:ascii="Arial" w:hAnsi="Arial" w:eastAsia="等线" w:cs="Arial"/>
          <w:b/>
          <w:sz w:val="32"/>
        </w:rPr>
        <w:t>9.3 V2.0 高级版本</w:t>
      </w:r>
      <w:bookmarkEnd w:id="67"/>
    </w:p>
    <w:p w14:paraId="1A6328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</w:t>
      </w:r>
      <w:r>
        <w:rPr>
          <w:rFonts w:ascii="Arial" w:hAnsi="Arial" w:eastAsia="等线" w:cs="Arial"/>
          <w:sz w:val="22"/>
        </w:rPr>
        <w:t>：提供深度定制与数据洞察能力。</w:t>
      </w:r>
    </w:p>
    <w:p w14:paraId="010BECF2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自定义字段与工作流</w:t>
      </w:r>
      <w:bookmarkStart w:id="68" w:name="_GoBack"/>
      <w:bookmarkEnd w:id="68"/>
    </w:p>
    <w:p w14:paraId="0994A9B6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高级仪表盘与报表</w:t>
      </w:r>
    </w:p>
    <w:p w14:paraId="028BB8AA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资源管理与负载分析</w:t>
      </w:r>
    </w:p>
    <w:p w14:paraId="4729D661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开放 API 与集成能力</w:t>
      </w:r>
    </w:p>
    <w:p w14:paraId="539A4C79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多项目组合管理</w:t>
      </w:r>
    </w:p>
    <w:p w14:paraId="0BA03A2D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数据导出与 BI 对接</w:t>
      </w:r>
    </w:p>
    <w:p w14:paraId="3E9BF08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15218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文档版本</w:t>
      </w:r>
      <w:r>
        <w:rPr>
          <w:rFonts w:ascii="Arial" w:hAnsi="Arial" w:eastAsia="等线" w:cs="Arial"/>
          <w:sz w:val="22"/>
        </w:rPr>
        <w:t>：V1.0</w:t>
      </w:r>
    </w:p>
    <w:p w14:paraId="52479A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创建日期</w:t>
      </w:r>
      <w:r>
        <w:rPr>
          <w:rFonts w:ascii="Arial" w:hAnsi="Arial" w:eastAsia="等线" w:cs="Arial"/>
          <w:sz w:val="22"/>
        </w:rPr>
        <w:t>：2026年7月28日</w:t>
      </w:r>
    </w:p>
    <w:p w14:paraId="61E3335C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8D9C3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A1FC9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suff w:val="space"/>
      <w:lvlText w:val="□"/>
      <w:lvlJc w:val="left"/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91B69C97"/>
    <w:multiLevelType w:val="singleLevel"/>
    <w:tmpl w:val="91B69C97"/>
    <w:lvl w:ilvl="0" w:tentative="0">
      <w:start w:val="0"/>
      <w:numFmt w:val="bullet"/>
      <w:suff w:val="space"/>
      <w:lvlText w:val="□"/>
      <w:lvlJc w:val="left"/>
    </w:lvl>
  </w:abstractNum>
  <w:abstractNum w:abstractNumId="7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377BC45"/>
    <w:multiLevelType w:val="singleLevel"/>
    <w:tmpl w:val="9377BC45"/>
    <w:lvl w:ilvl="0" w:tentative="0">
      <w:start w:val="0"/>
      <w:numFmt w:val="bullet"/>
      <w:suff w:val="space"/>
      <w:lvlText w:val="□"/>
      <w:lvlJc w:val="left"/>
    </w:lvl>
  </w:abstractNum>
  <w:abstractNum w:abstractNumId="10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C11E984"/>
    <w:multiLevelType w:val="singleLevel"/>
    <w:tmpl w:val="9C11E984"/>
    <w:lvl w:ilvl="0" w:tentative="0">
      <w:start w:val="0"/>
      <w:numFmt w:val="bullet"/>
      <w:suff w:val="space"/>
      <w:lvlText w:val="□"/>
      <w:lvlJc w:val="left"/>
    </w:lvl>
  </w:abstractNum>
  <w:abstractNum w:abstractNumId="12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9D5D7490"/>
    <w:multiLevelType w:val="singleLevel"/>
    <w:tmpl w:val="9D5D7490"/>
    <w:lvl w:ilvl="0" w:tentative="0">
      <w:start w:val="0"/>
      <w:numFmt w:val="bullet"/>
      <w:suff w:val="space"/>
      <w:lvlText w:val="□"/>
      <w:lvlJc w:val="left"/>
    </w:lvl>
  </w:abstractNum>
  <w:abstractNum w:abstractNumId="14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A0F05207"/>
    <w:multiLevelType w:val="singleLevel"/>
    <w:tmpl w:val="A0F0520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AAF3F3FA"/>
    <w:multiLevelType w:val="singleLevel"/>
    <w:tmpl w:val="AAF3F3FA"/>
    <w:lvl w:ilvl="0" w:tentative="0">
      <w:start w:val="0"/>
      <w:numFmt w:val="bullet"/>
      <w:suff w:val="space"/>
      <w:lvlText w:val="□"/>
      <w:lvlJc w:val="left"/>
    </w:lvl>
  </w:abstractNum>
  <w:abstractNum w:abstractNumId="17">
    <w:nsid w:val="B0ED9BEA"/>
    <w:multiLevelType w:val="singleLevel"/>
    <w:tmpl w:val="B0ED9BEA"/>
    <w:lvl w:ilvl="0" w:tentative="0">
      <w:start w:val="0"/>
      <w:numFmt w:val="bullet"/>
      <w:suff w:val="space"/>
      <w:lvlText w:val="□"/>
      <w:lvlJc w:val="left"/>
    </w:lvl>
  </w:abstractNum>
  <w:abstractNum w:abstractNumId="1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BCECA0B4"/>
    <w:multiLevelType w:val="singleLevel"/>
    <w:tmpl w:val="BCECA0B4"/>
    <w:lvl w:ilvl="0" w:tentative="0">
      <w:start w:val="0"/>
      <w:numFmt w:val="bullet"/>
      <w:suff w:val="space"/>
      <w:lvlText w:val="□"/>
      <w:lvlJc w:val="left"/>
    </w:lvl>
  </w:abstractNum>
  <w:abstractNum w:abstractNumId="26">
    <w:nsid w:val="BDA1395C"/>
    <w:multiLevelType w:val="singleLevel"/>
    <w:tmpl w:val="BDA1395C"/>
    <w:lvl w:ilvl="0" w:tentative="0">
      <w:start w:val="0"/>
      <w:numFmt w:val="bullet"/>
      <w:suff w:val="space"/>
      <w:lvlText w:val="□"/>
      <w:lvlJc w:val="left"/>
    </w:lvl>
  </w:abstractNum>
  <w:abstractNum w:abstractNumId="27">
    <w:nsid w:val="BE8A4F4C"/>
    <w:multiLevelType w:val="singleLevel"/>
    <w:tmpl w:val="BE8A4F4C"/>
    <w:lvl w:ilvl="0" w:tentative="0">
      <w:start w:val="0"/>
      <w:numFmt w:val="bullet"/>
      <w:suff w:val="space"/>
      <w:lvlText w:val="□"/>
      <w:lvlJc w:val="left"/>
    </w:lvl>
  </w:abstractNum>
  <w:abstractNum w:abstractNumId="28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D1EB1714"/>
    <w:multiLevelType w:val="singleLevel"/>
    <w:tmpl w:val="D1EB1714"/>
    <w:lvl w:ilvl="0" w:tentative="0">
      <w:start w:val="0"/>
      <w:numFmt w:val="bullet"/>
      <w:suff w:val="space"/>
      <w:lvlText w:val="□"/>
      <w:lvlJc w:val="left"/>
    </w:lvl>
  </w:abstractNum>
  <w:abstractNum w:abstractNumId="35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D7F9FE59"/>
    <w:multiLevelType w:val="singleLevel"/>
    <w:tmpl w:val="D7F9FE5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7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E0294EC7"/>
    <w:multiLevelType w:val="singleLevel"/>
    <w:tmpl w:val="E0294EC7"/>
    <w:lvl w:ilvl="0" w:tentative="0">
      <w:start w:val="0"/>
      <w:numFmt w:val="bullet"/>
      <w:suff w:val="space"/>
      <w:lvlText w:val="□"/>
      <w:lvlJc w:val="left"/>
    </w:lvl>
  </w:abstractNum>
  <w:abstractNum w:abstractNumId="40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5">
    <w:nsid w:val="F585BF25"/>
    <w:multiLevelType w:val="singleLevel"/>
    <w:tmpl w:val="F585BF25"/>
    <w:lvl w:ilvl="0" w:tentative="0">
      <w:start w:val="0"/>
      <w:numFmt w:val="bullet"/>
      <w:suff w:val="space"/>
      <w:lvlText w:val="□"/>
      <w:lvlJc w:val="left"/>
    </w:lvl>
  </w:abstractNum>
  <w:abstractNum w:abstractNumId="46">
    <w:nsid w:val="F689643B"/>
    <w:multiLevelType w:val="singleLevel"/>
    <w:tmpl w:val="F689643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7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0F9F9CCA"/>
    <w:multiLevelType w:val="singleLevel"/>
    <w:tmpl w:val="0F9F9C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7">
    <w:nsid w:val="10D591E5"/>
    <w:multiLevelType w:val="singleLevel"/>
    <w:tmpl w:val="10D591E5"/>
    <w:lvl w:ilvl="0" w:tentative="0">
      <w:start w:val="0"/>
      <w:numFmt w:val="bullet"/>
      <w:suff w:val="space"/>
      <w:lvlText w:val="□"/>
      <w:lvlJc w:val="left"/>
    </w:lvl>
  </w:abstractNum>
  <w:abstractNum w:abstractNumId="58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1450273B"/>
    <w:multiLevelType w:val="singleLevel"/>
    <w:tmpl w:val="1450273B"/>
    <w:lvl w:ilvl="0" w:tentative="0">
      <w:start w:val="0"/>
      <w:numFmt w:val="bullet"/>
      <w:suff w:val="space"/>
      <w:lvlText w:val="□"/>
      <w:lvlJc w:val="left"/>
    </w:lvl>
  </w:abstractNum>
  <w:abstractNum w:abstractNumId="60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1AD50295"/>
    <w:multiLevelType w:val="singleLevel"/>
    <w:tmpl w:val="1AD50295"/>
    <w:lvl w:ilvl="0" w:tentative="0">
      <w:start w:val="0"/>
      <w:numFmt w:val="bullet"/>
      <w:suff w:val="space"/>
      <w:lvlText w:val="□"/>
      <w:lvlJc w:val="left"/>
    </w:lvl>
  </w:abstractNum>
  <w:abstractNum w:abstractNumId="63">
    <w:nsid w:val="1BCBBCF0"/>
    <w:multiLevelType w:val="singleLevel"/>
    <w:tmpl w:val="1BCBBCF0"/>
    <w:lvl w:ilvl="0" w:tentative="0">
      <w:start w:val="0"/>
      <w:numFmt w:val="bullet"/>
      <w:suff w:val="space"/>
      <w:lvlText w:val="□"/>
      <w:lvlJc w:val="left"/>
    </w:lvl>
  </w:abstractNum>
  <w:abstractNum w:abstractNumId="64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35E83B33"/>
    <w:multiLevelType w:val="singleLevel"/>
    <w:tmpl w:val="35E83B3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6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3B8127DF"/>
    <w:multiLevelType w:val="singleLevel"/>
    <w:tmpl w:val="3B8127D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8">
    <w:nsid w:val="40B249F9"/>
    <w:multiLevelType w:val="singleLevel"/>
    <w:tmpl w:val="40B249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9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4CD1E351"/>
    <w:multiLevelType w:val="singleLevel"/>
    <w:tmpl w:val="4CD1E351"/>
    <w:lvl w:ilvl="0" w:tentative="0">
      <w:start w:val="0"/>
      <w:numFmt w:val="bullet"/>
      <w:suff w:val="space"/>
      <w:lvlText w:val="□"/>
      <w:lvlJc w:val="left"/>
    </w:lvl>
  </w:abstractNum>
  <w:abstractNum w:abstractNumId="8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5E29AB5A"/>
    <w:multiLevelType w:val="singleLevel"/>
    <w:tmpl w:val="5E29AB5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0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68B298F7"/>
    <w:multiLevelType w:val="singleLevel"/>
    <w:tmpl w:val="68B298F7"/>
    <w:lvl w:ilvl="0" w:tentative="0">
      <w:start w:val="0"/>
      <w:numFmt w:val="bullet"/>
      <w:suff w:val="space"/>
      <w:lvlText w:val="□"/>
      <w:lvlJc w:val="left"/>
    </w:lvl>
  </w:abstractNum>
  <w:abstractNum w:abstractNumId="95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9"/>
  </w:num>
  <w:num w:numId="2">
    <w:abstractNumId w:val="33"/>
  </w:num>
  <w:num w:numId="3">
    <w:abstractNumId w:val="86"/>
  </w:num>
  <w:num w:numId="4">
    <w:abstractNumId w:val="29"/>
  </w:num>
  <w:num w:numId="5">
    <w:abstractNumId w:val="21"/>
  </w:num>
  <w:num w:numId="6">
    <w:abstractNumId w:val="52"/>
  </w:num>
  <w:num w:numId="7">
    <w:abstractNumId w:val="68"/>
  </w:num>
  <w:num w:numId="8">
    <w:abstractNumId w:val="96"/>
  </w:num>
  <w:num w:numId="9">
    <w:abstractNumId w:val="50"/>
  </w:num>
  <w:num w:numId="10">
    <w:abstractNumId w:val="7"/>
  </w:num>
  <w:num w:numId="11">
    <w:abstractNumId w:val="69"/>
  </w:num>
  <w:num w:numId="12">
    <w:abstractNumId w:val="88"/>
  </w:num>
  <w:num w:numId="13">
    <w:abstractNumId w:val="32"/>
  </w:num>
  <w:num w:numId="14">
    <w:abstractNumId w:val="83"/>
  </w:num>
  <w:num w:numId="15">
    <w:abstractNumId w:val="44"/>
  </w:num>
  <w:num w:numId="16">
    <w:abstractNumId w:val="67"/>
  </w:num>
  <w:num w:numId="17">
    <w:abstractNumId w:val="38"/>
  </w:num>
  <w:num w:numId="18">
    <w:abstractNumId w:val="36"/>
  </w:num>
  <w:num w:numId="19">
    <w:abstractNumId w:val="12"/>
  </w:num>
  <w:num w:numId="20">
    <w:abstractNumId w:val="80"/>
  </w:num>
  <w:num w:numId="21">
    <w:abstractNumId w:val="91"/>
  </w:num>
  <w:num w:numId="22">
    <w:abstractNumId w:val="55"/>
  </w:num>
  <w:num w:numId="23">
    <w:abstractNumId w:val="79"/>
  </w:num>
  <w:num w:numId="24">
    <w:abstractNumId w:val="18"/>
  </w:num>
  <w:num w:numId="25">
    <w:abstractNumId w:val="101"/>
  </w:num>
  <w:num w:numId="26">
    <w:abstractNumId w:val="99"/>
  </w:num>
  <w:num w:numId="27">
    <w:abstractNumId w:val="28"/>
  </w:num>
  <w:num w:numId="28">
    <w:abstractNumId w:val="92"/>
  </w:num>
  <w:num w:numId="29">
    <w:abstractNumId w:val="8"/>
  </w:num>
  <w:num w:numId="30">
    <w:abstractNumId w:val="76"/>
  </w:num>
  <w:num w:numId="31">
    <w:abstractNumId w:val="3"/>
  </w:num>
  <w:num w:numId="32">
    <w:abstractNumId w:val="85"/>
  </w:num>
  <w:num w:numId="33">
    <w:abstractNumId w:val="102"/>
  </w:num>
  <w:num w:numId="34">
    <w:abstractNumId w:val="1"/>
  </w:num>
  <w:num w:numId="35">
    <w:abstractNumId w:val="66"/>
  </w:num>
  <w:num w:numId="36">
    <w:abstractNumId w:val="84"/>
  </w:num>
  <w:num w:numId="37">
    <w:abstractNumId w:val="47"/>
  </w:num>
  <w:num w:numId="38">
    <w:abstractNumId w:val="40"/>
  </w:num>
  <w:num w:numId="39">
    <w:abstractNumId w:val="72"/>
  </w:num>
  <w:num w:numId="40">
    <w:abstractNumId w:val="100"/>
  </w:num>
  <w:num w:numId="41">
    <w:abstractNumId w:val="24"/>
  </w:num>
  <w:num w:numId="42">
    <w:abstractNumId w:val="5"/>
  </w:num>
  <w:num w:numId="43">
    <w:abstractNumId w:val="23"/>
  </w:num>
  <w:num w:numId="44">
    <w:abstractNumId w:val="89"/>
  </w:num>
  <w:num w:numId="45">
    <w:abstractNumId w:val="2"/>
  </w:num>
  <w:num w:numId="46">
    <w:abstractNumId w:val="61"/>
  </w:num>
  <w:num w:numId="47">
    <w:abstractNumId w:val="4"/>
  </w:num>
  <w:num w:numId="48">
    <w:abstractNumId w:val="90"/>
  </w:num>
  <w:num w:numId="49">
    <w:abstractNumId w:val="97"/>
  </w:num>
  <w:num w:numId="50">
    <w:abstractNumId w:val="81"/>
  </w:num>
  <w:num w:numId="51">
    <w:abstractNumId w:val="73"/>
  </w:num>
  <w:num w:numId="52">
    <w:abstractNumId w:val="93"/>
  </w:num>
  <w:num w:numId="53">
    <w:abstractNumId w:val="53"/>
  </w:num>
  <w:num w:numId="54">
    <w:abstractNumId w:val="54"/>
  </w:num>
  <w:num w:numId="55">
    <w:abstractNumId w:val="35"/>
  </w:num>
  <w:num w:numId="56">
    <w:abstractNumId w:val="74"/>
  </w:num>
  <w:num w:numId="57">
    <w:abstractNumId w:val="64"/>
  </w:num>
  <w:num w:numId="58">
    <w:abstractNumId w:val="43"/>
  </w:num>
  <w:num w:numId="59">
    <w:abstractNumId w:val="65"/>
  </w:num>
  <w:num w:numId="60">
    <w:abstractNumId w:val="20"/>
  </w:num>
  <w:num w:numId="61">
    <w:abstractNumId w:val="78"/>
  </w:num>
  <w:num w:numId="62">
    <w:abstractNumId w:val="56"/>
  </w:num>
  <w:num w:numId="63">
    <w:abstractNumId w:val="75"/>
  </w:num>
  <w:num w:numId="64">
    <w:abstractNumId w:val="51"/>
  </w:num>
  <w:num w:numId="65">
    <w:abstractNumId w:val="30"/>
  </w:num>
  <w:num w:numId="66">
    <w:abstractNumId w:val="58"/>
  </w:num>
  <w:num w:numId="67">
    <w:abstractNumId w:val="19"/>
  </w:num>
  <w:num w:numId="68">
    <w:abstractNumId w:val="77"/>
  </w:num>
  <w:num w:numId="69">
    <w:abstractNumId w:val="15"/>
  </w:num>
  <w:num w:numId="70">
    <w:abstractNumId w:val="46"/>
  </w:num>
  <w:num w:numId="71">
    <w:abstractNumId w:val="71"/>
  </w:num>
  <w:num w:numId="72">
    <w:abstractNumId w:val="48"/>
  </w:num>
  <w:num w:numId="73">
    <w:abstractNumId w:val="60"/>
  </w:num>
  <w:num w:numId="74">
    <w:abstractNumId w:val="95"/>
  </w:num>
  <w:num w:numId="75">
    <w:abstractNumId w:val="41"/>
  </w:num>
  <w:num w:numId="76">
    <w:abstractNumId w:val="31"/>
  </w:num>
  <w:num w:numId="77">
    <w:abstractNumId w:val="14"/>
  </w:num>
  <w:num w:numId="78">
    <w:abstractNumId w:val="98"/>
  </w:num>
  <w:num w:numId="79">
    <w:abstractNumId w:val="37"/>
  </w:num>
  <w:num w:numId="80">
    <w:abstractNumId w:val="22"/>
  </w:num>
  <w:num w:numId="81">
    <w:abstractNumId w:val="70"/>
  </w:num>
  <w:num w:numId="82">
    <w:abstractNumId w:val="42"/>
  </w:num>
  <w:num w:numId="83">
    <w:abstractNumId w:val="10"/>
  </w:num>
  <w:num w:numId="84">
    <w:abstractNumId w:val="87"/>
  </w:num>
  <w:num w:numId="85">
    <w:abstractNumId w:val="26"/>
  </w:num>
  <w:num w:numId="86">
    <w:abstractNumId w:val="17"/>
  </w:num>
  <w:num w:numId="87">
    <w:abstractNumId w:val="9"/>
  </w:num>
  <w:num w:numId="88">
    <w:abstractNumId w:val="13"/>
  </w:num>
  <w:num w:numId="89">
    <w:abstractNumId w:val="16"/>
  </w:num>
  <w:num w:numId="90">
    <w:abstractNumId w:val="6"/>
  </w:num>
  <w:num w:numId="91">
    <w:abstractNumId w:val="63"/>
  </w:num>
  <w:num w:numId="92">
    <w:abstractNumId w:val="27"/>
  </w:num>
  <w:num w:numId="93">
    <w:abstractNumId w:val="59"/>
  </w:num>
  <w:num w:numId="94">
    <w:abstractNumId w:val="34"/>
  </w:num>
  <w:num w:numId="95">
    <w:abstractNumId w:val="94"/>
  </w:num>
  <w:num w:numId="96">
    <w:abstractNumId w:val="0"/>
  </w:num>
  <w:num w:numId="97">
    <w:abstractNumId w:val="25"/>
  </w:num>
  <w:num w:numId="98">
    <w:abstractNumId w:val="45"/>
  </w:num>
  <w:num w:numId="99">
    <w:abstractNumId w:val="82"/>
  </w:num>
  <w:num w:numId="100">
    <w:abstractNumId w:val="57"/>
  </w:num>
  <w:num w:numId="101">
    <w:abstractNumId w:val="11"/>
  </w:num>
  <w:num w:numId="102">
    <w:abstractNumId w:val="39"/>
  </w:num>
  <w:num w:numId="103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B1672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8388</Words>
  <Characters>8965</Characters>
  <TotalTime>1</TotalTime>
  <ScaleCrop>false</ScaleCrop>
  <LinksUpToDate>false</LinksUpToDate>
  <CharactersWithSpaces>9276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2026-07-28T15:18:00Z</dcterms:created>
  <dc:creator>Apache POI</dc:creator>
  <cp:lastModifiedBy>WPS_1773999959</cp:lastModifiedBy>
  <dcterms:modified xsi:type="dcterms:W3CDTF">2026-07-29T15:00:05Z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{"Label":"1","ContentProducer":"001191110102MACQD9K64010000","ProduceID":"7667598430998465465","ReservedCode1":"","ContentPropagator":"","PropagateID":"","ReservedCode2":""}</vt:lpwstr>
  </property>
  <property fmtid="{D5CDD505-2E9C-101B-9397-08002B2CF9AE}" pid="3" name="KSOTemplateDocerSaveRecord">
    <vt:lpwstr>eyJoZGlkIjoiMDljYzUzMWQ4OWI0YzBkYjYzMDRhZTY5ZjZkYmFmYTgiLCJ1c2VySWQiOiIxODEzODYxNjk0In0=</vt:lpwstr>
  </property>
  <property fmtid="{D5CDD505-2E9C-101B-9397-08002B2CF9AE}" pid="4" name="KSOProductBuildVer">
    <vt:lpwstr>2052-12.1.0.26895</vt:lpwstr>
  </property>
  <property fmtid="{D5CDD505-2E9C-101B-9397-08002B2CF9AE}" pid="5" name="ICV">
    <vt:lpwstr>D626EE058424454C93992F994C99C2F9_12</vt:lpwstr>
  </property>
</Properties>
</file>