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3E3AC" w14:textId="77777777" w:rsidR="00CE3857" w:rsidRPr="002E470D" w:rsidRDefault="00000000">
      <w:pPr>
        <w:keepLines/>
        <w:widowControl/>
        <w:suppressAutoHyphens/>
        <w:kinsoku w:val="0"/>
        <w:spacing w:after="120" w:line="240" w:lineRule="auto"/>
        <w:jc w:val="both"/>
        <w:outlineLvl w:val="0"/>
        <w:rPr>
          <w:rFonts w:ascii="Times New Roman" w:eastAsia="宋体" w:hAnsi="Times New Roman" w:cs="Times New Roman"/>
          <w:b/>
          <w:bCs/>
          <w:kern w:val="36"/>
          <w:sz w:val="24"/>
          <w14:ligatures w14:val="none"/>
        </w:rPr>
      </w:pPr>
      <w:r w:rsidRPr="002E470D">
        <w:rPr>
          <w:rFonts w:ascii="Times New Roman" w:eastAsia="宋体" w:hAnsi="Times New Roman" w:cs="Times New Roman"/>
          <w:b/>
          <w:bCs/>
          <w:kern w:val="36"/>
          <w:sz w:val="24"/>
          <w14:ligatures w14:val="none"/>
        </w:rPr>
        <w:t>Lipid metabolism score reflects PPARG/CD36 pathway activation and identifies high</w:t>
      </w:r>
      <w:r w:rsidRPr="002E470D">
        <w:rPr>
          <w:rFonts w:ascii="Times New Roman" w:eastAsia="宋体" w:hAnsi="Times New Roman" w:cs="Times New Roman"/>
          <w:b/>
          <w:bCs/>
          <w:kern w:val="36"/>
          <w:sz w:val="24"/>
          <w14:ligatures w14:val="none"/>
        </w:rPr>
        <w:noBreakHyphen/>
        <w:t>risk dedifferentiated liposarcoma</w:t>
      </w:r>
    </w:p>
    <w:p w14:paraId="5F022F4D"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Weihua Xiao, Chunjiao Liu, Jingdan Sheng, Junqiang Li, Shaonan Ge, Maofen Jiang, Min Wang, Ji He, Yaxin Ding, Haifen Ma</w:t>
      </w:r>
    </w:p>
    <w:p w14:paraId="71DD7383"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bookmarkStart w:id="0" w:name="OLE_LINK1"/>
    </w:p>
    <w:bookmarkEnd w:id="0"/>
    <w:p w14:paraId="57A560EC"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Beilun Branch of the First Affiliated Hospital, College of Medicine, Zhejiang University Ningbo, China</w:t>
      </w:r>
    </w:p>
    <w:p w14:paraId="7E843325"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Corresponding Author:</w:t>
      </w:r>
      <w:r w:rsidRPr="002E470D">
        <w:rPr>
          <w:rFonts w:ascii="Times New Roman" w:eastAsia="宋体" w:hAnsi="Times New Roman" w:cs="Times New Roman"/>
          <w:kern w:val="0"/>
          <w:sz w:val="24"/>
          <w14:ligatures w14:val="none"/>
        </w:rPr>
        <w:t xml:space="preserve"> Chunjiao Liu (liuchunjiao2022@163.com). Weihua Xiao (hua7708@126.com). Phone: +</w:t>
      </w:r>
      <w:bookmarkStart w:id="1" w:name="OLE_LINK31"/>
      <w:r w:rsidRPr="002E470D">
        <w:rPr>
          <w:rFonts w:ascii="Times New Roman" w:eastAsia="宋体" w:hAnsi="Times New Roman" w:cs="Times New Roman"/>
          <w:kern w:val="0"/>
          <w:sz w:val="24"/>
          <w14:ligatures w14:val="none"/>
        </w:rPr>
        <w:t>86-574-8677-6335</w:t>
      </w:r>
      <w:bookmarkEnd w:id="1"/>
      <w:r w:rsidRPr="002E470D">
        <w:rPr>
          <w:rFonts w:ascii="Times New Roman" w:eastAsia="宋体" w:hAnsi="Times New Roman" w:cs="Times New Roman"/>
          <w:kern w:val="0"/>
          <w:sz w:val="24"/>
          <w14:ligatures w14:val="none"/>
        </w:rPr>
        <w:t>; Fax: 86-574-8677-6335</w:t>
      </w:r>
    </w:p>
    <w:p w14:paraId="30AB047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BD7CE35"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Abstract</w:t>
      </w:r>
    </w:p>
    <w:p w14:paraId="0D84BB6A" w14:textId="77777777" w:rsidR="006E676E" w:rsidRPr="002E470D" w:rsidRDefault="006E676E">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10E93D5" w14:textId="648142F8" w:rsidR="00CE3857" w:rsidRPr="002E470D" w:rsidRDefault="006E676E">
      <w:pPr>
        <w:keepLines/>
        <w:widowControl/>
        <w:suppressAutoHyphens/>
        <w:kinsoku w:val="0"/>
        <w:spacing w:after="0" w:line="240" w:lineRule="auto"/>
        <w:ind w:firstLine="480"/>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There are no molecular markers which can be used to predict the prognosis of dedifferentiated liposarcoma (DDLPS). A 6-gene lipid metabolism score (LMS) was built based on the transcriptomic data of The Cancer Genome Atlas (TCGA) (n=50) and </w:t>
      </w:r>
      <w:r w:rsidR="0003437D" w:rsidRPr="0003437D">
        <w:rPr>
          <w:rFonts w:ascii="Times New Roman" w:eastAsia="宋体" w:hAnsi="Times New Roman" w:cs="Times New Roman"/>
          <w:kern w:val="0"/>
          <w:sz w:val="24"/>
          <w14:ligatures w14:val="none"/>
        </w:rPr>
        <w:t>validated it in two independent GEO cohorts for expression patterns (GSE21122, n=158; GSE159659, n=45) and further confirmed its prognostic value in an external cohort of 140 liposarcomas (GSE30929; HR=3.11, 95% CI: 1.64–5.88, P=0.00049).</w:t>
      </w:r>
      <w:r w:rsidRPr="002E470D">
        <w:rPr>
          <w:rFonts w:ascii="Times New Roman" w:eastAsia="宋体" w:hAnsi="Times New Roman" w:cs="Times New Roman"/>
          <w:kern w:val="0"/>
          <w:sz w:val="24"/>
          <w14:ligatures w14:val="none"/>
        </w:rPr>
        <w:t xml:space="preserve"> The score is a prognostic axis specific to males: high score-males had a 5.83-fold increased risk of death (95% CI: 1.55–21.95, P &lt; 0.01), but not females. Indeed, the score is highly mechanistically associated with PPARG/CD36 pathway activity (R=0.62 and 0.58) and high score tumors have co-occurring immune suppression (interferon gamma response NES=−1.82) and cell cycle activation (mitotic spindlenormalized enrichment score [NES]=1.64). Predictive performance is stable (1-, 3-, 5-year area under the curve [AUC]: 0.72, 0.68, 0.65). The score is independently cohort validated to its association with aggressive histologic subtypes. The findings offer a clinically applicable risk stratification tool for lipid metabolism and patient proof for considering the PPARG/CD36 axis as a therapeutic target in DDLPS..</w:t>
      </w:r>
    </w:p>
    <w:p w14:paraId="774A1E4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1C6B6CE"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bookmarkStart w:id="2" w:name="OLE_LINK15"/>
      <w:r w:rsidRPr="002E470D">
        <w:rPr>
          <w:rFonts w:ascii="Times New Roman" w:eastAsia="宋体" w:hAnsi="Times New Roman" w:cs="Times New Roman"/>
          <w:b/>
          <w:bCs/>
          <w:kern w:val="0"/>
          <w:sz w:val="24"/>
          <w14:ligatures w14:val="none"/>
        </w:rPr>
        <w:t>Highlights</w:t>
      </w:r>
    </w:p>
    <w:p w14:paraId="7F5FDFF6"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 six gene lipid metabolism score is an independent predictor of high risk DDLPS patients that is stable (AUC 0.65 0.72).</w:t>
      </w:r>
    </w:p>
    <w:p w14:paraId="1C1FEC7C"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 score shows a male specific prognostic axis in DDLPS with high score males having a increased risk of death by 5.83 fold.</w:t>
      </w:r>
    </w:p>
    <w:p w14:paraId="0FC01E4D"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 score is an indicator of activation of the PPARG/CD36 pathway and represents a dual phenotype of cell cycle activation and immune suppression.</w:t>
      </w:r>
    </w:p>
    <w:p w14:paraId="019F8D84" w14:textId="77777777" w:rsidR="00F6304C" w:rsidRPr="002E470D" w:rsidRDefault="00F6304C"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58572DDD" w14:textId="20914F65"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Introduction</w:t>
      </w:r>
    </w:p>
    <w:p w14:paraId="3047FADE"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lastRenderedPageBreak/>
        <w:t xml:space="preserve">  </w:t>
      </w:r>
      <w:r w:rsidRPr="002E470D">
        <w:rPr>
          <w:rFonts w:ascii="Times New Roman" w:eastAsia="宋体" w:hAnsi="Times New Roman" w:cs="Times New Roman"/>
          <w:kern w:val="0"/>
          <w:sz w:val="24"/>
          <w14:ligatures w14:val="none"/>
        </w:rPr>
        <w:t xml:space="preserve">Although with improvements in surgical, radiotherapy and chemotherapy, the prognosis of patients with advanced or recurrent DDLPS is still poor with 5 year survival rate less than 30% (3,4), DDLPS is the most aggressive form of liposarcoma, with the highest rates of recurrence and metastasis (1,2). Presently, existing prognostic tools are clinicopathological (e.g. tumour size, grade, stage) and are only moderately accurate (AUC &lt;0.65) and still have no molecular basis (5,6,14). Thus, there is a great need for prognostic biomarkers having well-defined molecular mechanisms. </w:t>
      </w:r>
    </w:p>
    <w:bookmarkEnd w:id="2"/>
    <w:p w14:paraId="32F8BD0E" w14:textId="77777777" w:rsidR="00C505B2" w:rsidRPr="002E470D" w:rsidRDefault="00C505B2" w:rsidP="00C505B2">
      <w:pPr>
        <w:keepLines/>
        <w:widowControl/>
        <w:suppressAutoHyphens/>
        <w:kinsoku w:val="0"/>
        <w:spacing w:before="120" w:after="120" w:line="240" w:lineRule="auto"/>
        <w:ind w:firstLine="480"/>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Lipid metabolism reprogramming has been identified as a hallmark of cancer and has key functions in biosynthesis of membranes, accumulation of energy, and signaling (7–9). Its significance in DDLPS, however, has not yet been explored. Although there is strong experimental evidence to support a role for the PPARγ/CD36 axis in promoting the progression of the liposarcoma via metabolic reprogramming of tumor associated macrophages (10-12), the clinical relevance of the axis in patient DDLPS tissues has not been tested. Meanwhile, the available prognostic factors are entirely based on clinicopathological parameters and there is no molecular basis, and the effect of sex on prognosis of DDLPS is not systematically explored (13,14).</w:t>
      </w:r>
    </w:p>
    <w:p w14:paraId="70ADABF3" w14:textId="0B7992F0" w:rsidR="00CE3857" w:rsidRPr="002E470D" w:rsidRDefault="00C505B2" w:rsidP="00C505B2">
      <w:pPr>
        <w:keepLines/>
        <w:widowControl/>
        <w:suppressAutoHyphens/>
        <w:kinsoku w:val="0"/>
        <w:spacing w:before="120" w:after="120" w:line="240" w:lineRule="auto"/>
        <w:ind w:firstLine="480"/>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 present study was therefore aimed at filling these two gaps, establishing a quantifiable lipid metabolism score, validating its association with the activity of the PPARG/CD36 axis in patient tissues and testing its prognostic value in a number of independent cohorts.</w:t>
      </w:r>
    </w:p>
    <w:p w14:paraId="02C3633B" w14:textId="77777777" w:rsidR="00F6304C" w:rsidRPr="002E470D" w:rsidRDefault="00F6304C">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1AA6EF4" w14:textId="2F08E198" w:rsidR="00CE3857" w:rsidRPr="002E470D" w:rsidRDefault="00000000">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Materials and Methods</w:t>
      </w:r>
    </w:p>
    <w:p w14:paraId="126F733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82A2C6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Human subjects</w:t>
      </w:r>
    </w:p>
    <w:p w14:paraId="24F55A9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RNA sequencing expression data and clinical information were downloaded from The Cancer Genome Atlas (TCGA) and the Gene Expression Omnibus (GEO; GSE21122 and GSE159659). In the TCGA cohort, there were 50 patients with DDLPS (33 male and 17 female) with an age of 61.5 years (median). The GEO cohorts included 158 (GSE21122) and 45 (GSE159659) patients. voom was used to normalize raw counts to log2 counts per million (log2CPM). Only those genes which are expressed in at least 20% of samples were retained. No cross cohort batch correction was performed as each cohort was analysed separately. A summary of the public transcriptomic cohorts, software tools and supplemental datasets produced in this study are presented in Table 1. Key Resources Table. In this retrospective analysis bioinformatic approach without the use of any antibody, cell lines, or commercial assays.</w:t>
      </w:r>
    </w:p>
    <w:p w14:paraId="73A0DBB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D19262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The calculation of the lipid metabolism score.</w:t>
      </w:r>
    </w:p>
    <w:p w14:paraId="48D8EAE6"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selected genes of lipid metabolism were FASN, ACLY, SCD, SREBF1, HMGCR and PPARG. In preliminary analysis (log2FC&gt;1 and adjusted p&lt;0.05), these genes were significantly up regulated in the high score group. Principal component analysis (PCA) of the log2CPM values of these six genes was used to create a lipid metabolism score. The score for the first principal component (which explained 48.6% of variance) was obtained. Patients were classified according to the median score.</w:t>
      </w:r>
    </w:p>
    <w:p w14:paraId="44B85FD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04145E4"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Differential expression analysis</w:t>
      </w:r>
    </w:p>
    <w:p w14:paraId="79A7EB45" w14:textId="13234207" w:rsidR="00CE3857"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differential expression was analyzed by limma package (version 3.56.2) with Benjamini Hochberg correction. Significant threshold: log2FC&gt;1 and adjusted p&lt;0.05.</w:t>
      </w:r>
    </w:p>
    <w:p w14:paraId="4DE2F3D1"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24B59FD"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Gene set enrichment analysis (GSEA)</w:t>
      </w:r>
    </w:p>
    <w:p w14:paraId="4FC8452E"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GSEA was carried out based on the gene sets in the MSigDB Hallmark gene set collection (v7.4) with the package clusterProfiler (20). Pathways with false discovery rate (FDR) &lt; 0.05 were deemed to be significantly different (1,000 permutations).</w:t>
      </w:r>
    </w:p>
    <w:p w14:paraId="5112E2BB"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C9104C9"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Immune infiltration analysis</w:t>
      </w:r>
    </w:p>
    <w:p w14:paraId="42717F97"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Immune cell infiltration scores were computed as the average expression of the cell type marker genes. The six types of immune cells were studied: CD8+ T cells, CD4+ T cells, regulatory T cells (Tregs), B cells, natural killer (NK) cells, and macrophages. Wilcoxon rank sum test with FDR correction was used for comparison of scores.</w:t>
      </w:r>
    </w:p>
    <w:p w14:paraId="1738A544"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328DA4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The activity of transcription factors was inferred from the data.</w:t>
      </w:r>
    </w:p>
    <w:p w14:paraId="014A8E98"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DoRothEA v1.0 was used to infer transcription factor (TF) activity (confidence levels A and B). The following 4 TFs were examined: PPARG, E2F1, MYC, and SREBF1.</w:t>
      </w:r>
    </w:p>
    <w:p w14:paraId="244D04B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9BA6308"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Drug sensitivity prediction</w:t>
      </w:r>
    </w:p>
    <w:p w14:paraId="5BB299C0" w14:textId="3E75EFA1" w:rsidR="00CE3857"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Target gene expression was used to predict drug sensitivity. The fold change (FC = high score group mean / low score group mean) was determined for each drug target pair. Drugs that had FC &gt; 1.3 and p&lt;0.05 were classified as being preferentially active in high score patients and drugs with FC &lt; 0.77 and p&lt;0.05 were classified as being preferentially active in low score patients.</w:t>
      </w:r>
    </w:p>
    <w:p w14:paraId="0B3B4A6C"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7AD46AE"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Survival analysis, model evaluation</w:t>
      </w:r>
    </w:p>
    <w:p w14:paraId="1D7D2D92"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Overall survival (OS) was defined from diagnosis to death or last follow up. The Kaplan Meier curves were used along with log rank tests. The univariate and multivariate Cox proportional hazards models were used to assess the score, age, gender and tumour stage as prognostic factors. HR (95% CI) were reported. Time dependent ROC was performed using timeROC (1 , 3 , 5 year) with 1000 bootstrap replicates.</w:t>
      </w:r>
    </w:p>
    <w:p w14:paraId="664A01E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p>
    <w:p w14:paraId="40378F73"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Sensitivity analysis</w:t>
      </w:r>
    </w:p>
    <w:p w14:paraId="2E86FFC7"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following three sensitivity analyses were conducted: alternative cutoffs (30th 70th percentiles), alternative scoring methods (simple mean, median, weighted mean, PCA recalculation) and alternative sets of immune markers.</w:t>
      </w:r>
    </w:p>
    <w:p w14:paraId="0C0F3656"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p>
    <w:p w14:paraId="3EA427D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Explain the methods of quantification and statistical analysis.</w:t>
      </w:r>
    </w:p>
    <w:p w14:paraId="0D84D80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Data were analyzed with R version 4.6.0. Wilcoxon rank sum test was used for continuous variables; chi square or Fisher's exact test for categorical variables; Spearman correlation for correlation analyses. Two sided p &lt; 0.05 was considered significant. Bonferroni correction for multiple comparisons performed by Benjamini FDR.</w:t>
      </w:r>
    </w:p>
    <w:p w14:paraId="07C31EB2" w14:textId="5AA881B5" w:rsidR="00CE3857" w:rsidRPr="002E470D" w:rsidRDefault="00000000"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Results</w:t>
      </w:r>
    </w:p>
    <w:p w14:paraId="440D2396" w14:textId="57AC5F50" w:rsidR="00082167" w:rsidRPr="002E470D" w:rsidRDefault="00082167" w:rsidP="0008216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Are there quantitative lipid metabolism signatures in DDLPS? </w:t>
      </w:r>
    </w:p>
    <w:p w14:paraId="471B0749" w14:textId="77777777" w:rsidR="00082167" w:rsidRPr="002E470D" w:rsidRDefault="00082167" w:rsidP="00082167">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We sought to evaluate if a measurable alteration of lipid metabolism is present in DDLPS by analysing transcriptomic data from two GEO cohorts and TCGA. The total number of patients included in the analysis was 253 liposarcoma patients from three independent datasets (Fig. 1A). The GSE21122 cohort contributed 158 (62.5%), TCGA 50 (19.8%), and GSE159659 45 (17.8%) (Fig. 1B). DDLPS was the most common subtype (n=61, 24.1%). The TCGA cohort consisted of 61.5 years old, median age with 66% male (Fig. 1C-E). At last follow up, 27 (54%) were alive and 23 (46%) had died (Fig. 1F).</w:t>
      </w:r>
    </w:p>
    <w:p w14:paraId="7B62E054" w14:textId="72F35488" w:rsidR="00CE3857" w:rsidRPr="002E470D" w:rsidRDefault="00082167" w:rsidP="0008216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kern w:val="0"/>
          <w:sz w:val="24"/>
          <w14:ligatures w14:val="none"/>
        </w:rPr>
        <w:t xml:space="preserve">  The first principal component of six coordinately expressed genes (FASN, ACLY, SCD, SREBF1, HMGCR, PPARG) was used to calculate the lipid metabolism score which was significantly different between the subtypes. The maximum median score was achieved by DDLPS (Fig. 2A). The scores were shown to be similar (Fig. 2B) among all three cohorts. Interestingly, scores were significantly higher in males (p &lt; 0.05; Fig. 2C) and deceased patients (p &lt; 0.05; Fig. 2D). The score was found to be near normal with median ~5.2, range 3.9 8.5, and no correlation with age (Spearman R = 0.041, p = 0.78; Fig. 2F-H). Coordinated expression of the 6 genes was confirmed by heatmap (Fig. 2G). There was no correlation between tumour size and Fédération Nationale des Centres de Lutte Contre le Cancer (FNCLCC) grade (Fig. S2A and B). Table S2 contains the names of the six core genes.</w:t>
      </w:r>
    </w:p>
    <w:p w14:paraId="1EB358D6"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Does the score reflect patient's survival? </w:t>
      </w:r>
    </w:p>
    <w:p w14:paraId="6163D232"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High score patients had significantly poorer overall survival (OS), with an HR of 2.61 (1.07–6.36, log rank p = 0.031; Fig. 3A; Supplementary Fig. S4). Age stratified analysis did not show significant interaction and HRs were 2.98 (95% CI: 0.90–9.86, p = 0.073) in patients aged ≤60 years and 2.75 (95% CI: 0.74–10.23, p = 0.130) in patients aged &gt;60 years (Fig. 3B and C), indicating low age dependency of the score's prognostic value.</w:t>
      </w:r>
    </w:p>
    <w:p w14:paraId="2F6D8B5C"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Interestingly, the prognostic effect was sex specific. Among female patients (n = 17), no significant association was observed (HR = 0.62, 95% CI: 0.14–2.75, p = 0.510; Fig. 3D). In contrast, male patients (n = 33) showed a strong and highly significant effect (HR = 5.83, 95% CI: 1.55–21.95, p = 0.008; Fig. 3E). Multivariate Cox analysis showed that the score was an independent prognostic factor in males when adjusted for age and tumor stage (adjusted HR=5.61, p=0.011). This sex specific prognostic effect has not been previously reported in DDLPS. The prognostic stratification of the score was also confirmed by the Kaplan Meier survival curve (Supplementary Fig. S4).</w:t>
      </w:r>
    </w:p>
    <w:p w14:paraId="12403AE5"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bookmarkStart w:id="3" w:name="OLE_LINK3"/>
      <w:r w:rsidRPr="002E470D">
        <w:rPr>
          <w:rFonts w:ascii="Times New Roman" w:eastAsia="宋体" w:hAnsi="Times New Roman" w:cs="Times New Roman"/>
          <w:b/>
          <w:bCs/>
          <w:kern w:val="0"/>
          <w:sz w:val="24"/>
          <w14:ligatures w14:val="none"/>
        </w:rPr>
        <w:t xml:space="preserve">What are the molecular features of high score tumors? </w:t>
      </w:r>
    </w:p>
    <w:p w14:paraId="45201146"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We applied differential expression analysis to find out the transcriptional program underlying high score vs low score tumors. The 52 genes considered significantly up regulated and the 5 down regulated genes had a stringent threshold of log2FC &gt; 1 and an adjusted p &lt; 0.05 in the high score tumors (Fig. 4A). The core lipid metabolism genes were among the genes that were coordinately upregulated. These genes encompassed FASN, ACLY, SCD, SREBF1, HMGCR and PPARG. Among them, FASN showed the highest upregulation level, followed by ACLY (log2FC = 1.21) and SCD (log2FC = 1.15). These enzymes are co-ordinated upregulations, implying that these enzymes do not act as a random set of transcriptional changes.</w:t>
      </w:r>
    </w:p>
    <w:p w14:paraId="7A43791A"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When all the differentially expressed genes were used for hierarchical clustering, a clear separation of the high and low score samples was observed (Fig. 4B), indicating that the lipid metabolism score reflects a specific and coherent transcriptional program. The volcano plot (with an added GSEA barcode) provided a preliminary visualization of the two clusters, with the majority of genes related to the cell cycle being enriched in the high expression region and genes related to the immune system being enriched in the low expression region (Supplementary Fig. S1), suggesting two opposite tumor phenotypes for high score tumors.</w:t>
      </w:r>
    </w:p>
    <w:p w14:paraId="6AD30AF2"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These were further confirmed by the KEGG pathway enrichment analysis, which showed that the up regulated genes were enriched in lipid metabolism, fatty acid metabolism, cholesterol metabolism, and PPAR signaling pathways. GSEA found enrichment of lipid metabolism pathways independently (NES = 1.52, FDR = 0.012), which was convergent evidence that the score is a faithful indicator of level of pathway metabolic activation. All genes that were found to be differentially expressed are presented in Table S1.</w:t>
      </w:r>
    </w:p>
    <w:bookmarkEnd w:id="3"/>
    <w:p w14:paraId="73B3252C"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Is there a particular pathway signaling phenotype in high score tumors?</w:t>
      </w:r>
    </w:p>
    <w:p w14:paraId="3AA60717"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lastRenderedPageBreak/>
        <w:t xml:space="preserve">  </w:t>
      </w:r>
      <w:r w:rsidRPr="002E470D">
        <w:rPr>
          <w:rFonts w:ascii="Times New Roman" w:eastAsia="宋体" w:hAnsi="Times New Roman" w:cs="Times New Roman"/>
          <w:kern w:val="0"/>
          <w:sz w:val="24"/>
          <w14:ligatures w14:val="none"/>
        </w:rPr>
        <w:t>The GSEA analysis was performed against the MSigDB Hallmark gene sets, showing a remarkable dual phenotypic signature which distinguished high score tumors from low score tumors. High score tumors had significant enrichment of cell cycle related pathways, such as Mitotic_Spindle (NES = 1.64, FDR &lt; 0.05), G2m_Checkpoint (NES = 1.58), E2f_Targets (NES = 1.57), Myc_Targets_V1, and Mtorc1_Signaling (Fig. 4C E). The concerted triggering of pathways involved in cell proliferation is indicative of the fact that increased lipid metabolism supplies membrane components, energy sources and signaling molecules required for quick cell proliferation. A further implication of oncogenic transcription factor networks in driving this proliferative phenotype comes from the enrichment of E2F and MYC target genes.</w:t>
      </w:r>
    </w:p>
    <w:p w14:paraId="0E6ACBCF"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In contrast, high score tumours showed strong downregulation of immune related pathways. The interferon gamma response pathway was the most dramatically down-regulated pathway (NES = −1.82, FDR &lt; 0.05), followed by inflammatory_response (NES = −1.76), il6_jak_stat3_signaling (NES = −1.68), and tnf_signaling_via_nfkb (NES = −1.59) (Fig. 4H). This immune suppressive signature is especially significant given the possibility that, through metabolic competition in the tumor microenvironment or direct immune evasion mechanisms, high lipid metabolism could actively support immune evasion processes directly or indirectly.</w:t>
      </w:r>
    </w:p>
    <w:p w14:paraId="3353D651"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These GSEA results were multi-faceted validated with complementary visualization methods. The pathway network analysis (Supplementary Fig. S2C) was used to identify that the pathways were interlinked and showed that there was co-ordinated activation of pathways, rather than isolated perturbations. The forest plot of top pathways (Supplementary Fig. S2D) gave an overview of pathway level effect sizes and the ridge plots of up and down regulated pathways (Supplementary Fig. S2E and F) showed the enrichment score distribution across individual pathways. The overall results lead to the dual phenotype model. This model incorporates the activation of cell cycles and immune suppression, and builds a mechanistic model to explain the high score and aggressive properties of tumors. Table S3 shows all 36 Hallmark pathways that are significantly enriched.</w:t>
      </w:r>
    </w:p>
    <w:p w14:paraId="7B7DD71E"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Does the molecular basis for the score lie in the PPARG/CD36 axis? </w:t>
      </w:r>
    </w:p>
    <w:p w14:paraId="25B284E6"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PPARG gene is in the middle of the 6-gene signature and has known regulatory links with lipid metabolism. In line with this, relevant experiments have confirmed that PPARG promotes the progression of liposarcoma by re-programming the metabolism through the mTORC2 pathway (9). Based on this, we also confirmed the PPARG/CD36 axis as the molecular mechanism of our lipid metabolism score.</w:t>
      </w:r>
    </w:p>
    <w:p w14:paraId="4CA12DB7"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The expression of PPARG and CD36 was significantly higher in high score patients than in low score patients. The p values were 0.004 and 0.006 respectively (Fig. 5A–5B). These are all core pathway molecules that are transcriptionally upregulated and are stable features of high score tumours.</w:t>
      </w:r>
    </w:p>
    <w:p w14:paraId="5E63AE3B"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 gene PPARG showed strong positive correlation with lipid metabolism score (Spearman R = 0.62, p =1.2× 10⁻⁶; Fig. 5C) and gene CD36 showed strong positive correlation with lipid metabolism score (Spearman R = 0.58, p = 8.4 × 10⁻⁶; Fig. 5D). The strong correlations indicate that the score could be used as an effective surrogate in patient tissue for PPARG/CD36 axis activity.Survival analysis was also used to confirm the prognostic value of PPARG. Patients with high expression of PPARG had significant poorer overall survival than patients with low PPARG expression (log rank p = 0.019; Fig. 5E), consistent with what was found with the composite lipid metabolism score. The core gene heatmap revealed the strong expression correlation between the selected genes: PPARG, CD36, FASN, ACLY, SCD and SREBF1 and clearly separated patients with high from low score (Fig. 5F). We combined the expression levels of PPARG and CD36 into an integrated score by normalizing their expression levels. The PPARG+CD36 ROC curve had an AUC of 0.71 (Fig. 5G), illustrating that both of these genes carry a significant amount of the prognostic information in the six gene signature. Finally, a high individual patient level correlation of PPARG and CD36 (Spearman R = 0.58; p &lt; 0.001; Fig. 5H) confirmed their functional interdependence.</w:t>
      </w:r>
    </w:p>
    <w:p w14:paraId="431E4380"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We also validated the biological relevance of the lipid score by analyzing its distribution in two independent GEO cohorts by histologic subtype. The score was significantly higher in DDLPS than in WDLPS and in normal adipose tissue (p &lt; 0.05 for both comparisons; Supplementary Fig. S7A) in GSE159659 (n = 45). In GSE21122 (n=158), the score was also found to be significantly different among the various sarcoma subtypes with DDLPS having the highest score, followed by leiomyosarcoma (LMS), myxofibrosarcoma (MF), and normal fat controls (ANOVA overall p &lt;0.05; Supplementary Fig. S7B). These strong relationships across independent samples corroborate our findings and suggest they are generalizable because of the consistency of these relationships across the samples. Together, these results support the hypothesis that the lipid metabolism score is a measure of the activation of the lipid metabolism pathway PPARG/CD36, as our companion study has functionally demonstrated to be a driver of liposarcoma aggressiveness (10).</w:t>
      </w:r>
    </w:p>
    <w:p w14:paraId="231C36C2" w14:textId="77777777" w:rsidR="009D3FE0" w:rsidRPr="002E470D" w:rsidRDefault="009D3FE0" w:rsidP="009D3FE0">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Is there immune suppression which is due to reduced infiltration or functional impairment?</w:t>
      </w:r>
    </w:p>
    <w:p w14:paraId="0C6D8899" w14:textId="77777777" w:rsidR="009D3FE0" w:rsidRPr="002E470D" w:rsidRDefault="009D3FE0" w:rsidP="009D3FE0">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lastRenderedPageBreak/>
        <w:t xml:space="preserve">  </w:t>
      </w:r>
      <w:r w:rsidRPr="002E470D">
        <w:rPr>
          <w:rFonts w:ascii="Times New Roman" w:eastAsia="宋体" w:hAnsi="Times New Roman" w:cs="Times New Roman"/>
          <w:kern w:val="0"/>
          <w:sz w:val="24"/>
          <w14:ligatures w14:val="none"/>
        </w:rPr>
        <w:t>To assess whether the observed immune pathway suppression in high score tumors was due to changes in the abundance of immune cells or due to functional changes, we systematically analysed immune infiltration in high score tumors using six cell type specific marker gene sets, corresponding to CD8+ T cells, CD4+ T cells, regulatory T cells (Tregs), B cells, natural killer (NK) cells and macrophages (Supplementary Fig. S3A). Immune scores were defined as the average expression of validated marker genes of each cell type. Interestingly, no significant difference in immune cell infiltration scores was found in high and low score groups for any of the six immune cell types analyzed (FDR &gt; 0.05 for all comparisons; Supplementary Fig. S3B). This was repeated with an independent set of immune marker genes, thus avoiding marker gene selection bias.</w:t>
      </w:r>
    </w:p>
    <w:p w14:paraId="65A329B0" w14:textId="77777777" w:rsidR="009D3FE0" w:rsidRPr="002E470D" w:rsidRDefault="009D3FE0" w:rsidP="009D3FE0">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Preserved immune cells in high score tumors in the setting of extremely low interferon gamma and inflammatory response pathways suggest that there is an immune dysfunction rather than immune exclusion. Importantly, this distinction has therapeutic implications as tumors with numerous but ineffective immune cells may be more susceptible to immune reactivation strategies, while immune excluded tumors will need other therapeutic methods to overcome physical barriers to immune infiltration. The lack of an immune infiltration difference suggests that the lipid metabolism score may be mainly related to the intrinsic characteristics of the tumor cell and to the functional alterations of the immune cell, i.e., to metabolic reprogramming, and not to the immune microenvironmental composition.</w:t>
      </w:r>
    </w:p>
    <w:p w14:paraId="64A1B12D" w14:textId="39480512"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Does the score provide a clinically useful risk stratification?</w:t>
      </w:r>
    </w:p>
    <w:p w14:paraId="2A16EFFA"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Lipid metabolism score showed good and clinically relevant predictive power using a variety of evaluation metrics. The AUC for 1 year survival was 0.72, 3 year survival was 0.68 and 5 year survival was 0.65 (Fig. 6A and B) from time dependent ROC analysis. The non-monotonic decrease of AUC over time is in line with the growing impact of the late stage clinical events and competing risks. However, the AUC of 0.65 for the 5-year time frame is modest but is useful for risk categorization, especially when compared to the other clinicopathological tools available that have AUC of &lt;0.65.</w:t>
      </w:r>
    </w:p>
    <w:p w14:paraId="4D01217C"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We created a nomogram that included age, FNCLCC grade and lipid score (Supplementary Fig. S5) to offer a clinically useful tool. The nomogram can be used to predict individual 1, 3 and 5 year survival probability by adding the points given for each variable. Despite the small sample size, calibration curves for the nomogram showed good agreement between the predicted and observed survival at the three timepoints with the bootstrap corrected nomogram calibration curves close to the diagonal reference line (Supplementary Fig. S6), suggesting that the model was well calibrated. Decision curve analysis also confirmed the clinical usefulness of the score, showing positive net benefit over a broad range of threshold probabilities (Fig. 6C), indicating that clinical decision making based on the score would be better than treat all or treat none strategies.</w:t>
      </w:r>
    </w:p>
    <w:p w14:paraId="6F546D4B"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Six core lipid metabolism genes were significantly up-regulated (all p &lt; 0.001) in the high score patients; the most highly up-regulated genes were FASN (2.8 fold), ACLY (2.3 fold), SCD (2.1 fold) and SREBF1 (1.9 fold) (Fig. 6D). All of these genes constituted a highly-coordinated gene expression network in which FASN was highly correlated with ACLY (R = 0.78) and SCD (R= 0.72; Fig. 6E; Supplementary Fig. S3D). Transcription factor activity inference showed the differential activation of important transcription factor networks, with PPARG showing the activation with the highest Log2FC (1.19, p-value 0.008), followed by E2F1 (Log2FC 0.50, p-value 0.012) and SREBF1 (Log2FC 0.30, p-value 0.026) (Fig. 6F). High score patients were predicted to be sensitive to FASN inhibitors, SCD inhibitors, and CDK4/6 inhibitors, while low score patients might be more sensitive to immune checkpoint inhibitors (ICIs) (Supplementary Fig. S3C). Our approach to scoring showed good correlation with four alternatives, as the simple mean, median, weighted mean and PCA recalculation correlated well with the original PCA based score (Spearman R &gt; 0.7) and discriminated well between high risk patients (HR range 2.3–2.9).</w:t>
      </w:r>
    </w:p>
    <w:p w14:paraId="0BB6D2B2"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p>
    <w:p w14:paraId="1D66FFFE"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4" w:name="OLE_LINK10"/>
      <w:r w:rsidRPr="002E470D">
        <w:rPr>
          <w:rFonts w:ascii="Times New Roman" w:eastAsia="宋体" w:hAnsi="Times New Roman" w:cs="Times New Roman"/>
          <w:b/>
          <w:bCs/>
          <w:kern w:val="0"/>
          <w:sz w:val="24"/>
          <w14:ligatures w14:val="none"/>
        </w:rPr>
        <w:t>Discussion</w:t>
      </w:r>
    </w:p>
    <w:p w14:paraId="39B9A35E"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377767D"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This study introduces a six gene lipid metabolism score to detect high risk DDLPS patients, which is related to the activation of PPARG/CD36 pathway. The score shows good stability of predictive performance and a remarkable sex specific prognostic impact not known before in DDLPS.</w:t>
      </w:r>
    </w:p>
    <w:p w14:paraId="69094A43"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Our results give clinical evidence of the involvement of the PPARG/CD36 axis in the progression of DDLPS. The excellent correlation between the score and PPARG/CD36 expression indicates that the score might be useful as a surrogate for axis activation. This is in line with the recent experimental evidence that the PPARγ/CD36 axis supports liposarcoma by inducing mTORC2-driven metabolic switch of tumor associated macrophages (10). CD36 and PPARγ have been related to cancer cell metabolism and tumour progression (15, 17). PPARG+CD36 signature also had an AUC of 0.71, further emphasizing the signature's potential as a diagnostic biomarker. Our prognostic signature performed as well or better than published prognostic signatures in sarcoma (14). Sensitivity analysis was performed, which confirmed robustness (Supplementary Fig. S6 and S7).</w:t>
      </w:r>
    </w:p>
    <w:p w14:paraId="790F8883"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The other phenotype of cell cycle activation and immune suppression observed in tumors with high scores indicates that lipid metabolism is not only important for cell cycle activation and proliferation, but might also be important for immune suppression. The enrichment of cell cycle pathways is consistent with the studies elucidating that lipid metabolism delivers intermediates for cell signaling and membrane building blocks for rapid cell proliferation (18,19). In DDLPS, a high expression of PPARG is associated with poor prognosis, as opposed to being tumor suppressive in epithelial cancers (20-22). Down-regulation of interferon gamma and inflammatory response pathways, the immune suppression signature, is consistent with metabolic reprogramming promoting immune evasion (23,24). Significant differences in immune cell infiltration were not observed and the score is thought to be mainly influenced by the intrinsic properties of the tumor cells, not the abundance of immune cells (3,25). The sex specific prognostic effect has not been reported before; sex differences in cancer metabolism have been reported (8,26), but this is the first time the male specific metabolic prognostic axis has been demonstrated in DDLPS.</w:t>
      </w:r>
    </w:p>
    <w:p w14:paraId="45E8A793" w14:textId="42134A20" w:rsidR="00CE3857" w:rsidRPr="002E470D" w:rsidRDefault="00000000"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 score may assist in risk stratification, particularly in male patients, and could guide treatment decisions. </w:t>
      </w:r>
      <w:bookmarkStart w:id="5" w:name="OLE_LINK25"/>
      <w:r w:rsidRPr="002E470D">
        <w:rPr>
          <w:rFonts w:ascii="Times New Roman" w:eastAsia="宋体" w:hAnsi="Times New Roman" w:cs="Times New Roman"/>
          <w:kern w:val="0"/>
          <w:sz w:val="24"/>
          <w14:ligatures w14:val="none"/>
        </w:rPr>
        <w:t>Low</w:t>
      </w:r>
      <w:r w:rsidRPr="002E470D">
        <w:rPr>
          <w:rFonts w:ascii="Times New Roman" w:eastAsia="宋体" w:hAnsi="Times New Roman" w:cs="Times New Roman"/>
          <w:kern w:val="0"/>
          <w:sz w:val="24"/>
          <w14:ligatures w14:val="none"/>
        </w:rPr>
        <w:noBreakHyphen/>
        <w:t>score patients (immune</w:t>
      </w:r>
      <w:r w:rsidRPr="002E470D">
        <w:rPr>
          <w:rFonts w:ascii="Times New Roman" w:eastAsia="宋体" w:hAnsi="Times New Roman" w:cs="Times New Roman"/>
          <w:kern w:val="0"/>
          <w:sz w:val="24"/>
          <w14:ligatures w14:val="none"/>
        </w:rPr>
        <w:noBreakHyphen/>
        <w:t xml:space="preserve">activated) might be considered for immune checkpoint inhibitors, </w:t>
      </w:r>
      <w:bookmarkEnd w:id="5"/>
      <w:r w:rsidRPr="002E470D">
        <w:rPr>
          <w:rFonts w:ascii="Times New Roman" w:eastAsia="宋体" w:hAnsi="Times New Roman" w:cs="Times New Roman"/>
          <w:kern w:val="0"/>
          <w:sz w:val="24"/>
          <w14:ligatures w14:val="none"/>
        </w:rPr>
        <w:t xml:space="preserve">whereas </w:t>
      </w:r>
      <w:bookmarkStart w:id="6" w:name="OLE_LINK26"/>
      <w:r w:rsidRPr="002E470D">
        <w:rPr>
          <w:rFonts w:ascii="Times New Roman" w:eastAsia="宋体" w:hAnsi="Times New Roman" w:cs="Times New Roman"/>
          <w:kern w:val="0"/>
          <w:sz w:val="24"/>
          <w14:ligatures w14:val="none"/>
        </w:rPr>
        <w:t>high</w:t>
      </w:r>
      <w:r w:rsidRPr="002E470D">
        <w:rPr>
          <w:rFonts w:ascii="Times New Roman" w:eastAsia="宋体" w:hAnsi="Times New Roman" w:cs="Times New Roman"/>
          <w:kern w:val="0"/>
          <w:sz w:val="24"/>
          <w14:ligatures w14:val="none"/>
        </w:rPr>
        <w:noBreakHyphen/>
        <w:t>score patients (cell cycle</w:t>
      </w:r>
      <w:r w:rsidRPr="002E470D">
        <w:rPr>
          <w:rFonts w:ascii="Times New Roman" w:eastAsia="宋体" w:hAnsi="Times New Roman" w:cs="Times New Roman"/>
          <w:kern w:val="0"/>
          <w:sz w:val="24"/>
          <w14:ligatures w14:val="none"/>
        </w:rPr>
        <w:noBreakHyphen/>
        <w:t>activated) might benefit from CDK4/6 inhibitors or metabolic</w:t>
      </w:r>
      <w:r w:rsidRPr="002E470D">
        <w:rPr>
          <w:rFonts w:ascii="Times New Roman" w:eastAsia="宋体" w:hAnsi="Times New Roman" w:cs="Times New Roman"/>
          <w:kern w:val="0"/>
          <w:sz w:val="24"/>
          <w14:ligatures w14:val="none"/>
        </w:rPr>
        <w:noBreakHyphen/>
        <w:t xml:space="preserve">targeted therapies </w:t>
      </w:r>
      <w:bookmarkEnd w:id="6"/>
      <w:r w:rsidRPr="002E470D">
        <w:rPr>
          <w:rFonts w:ascii="Times New Roman" w:eastAsia="宋体" w:hAnsi="Times New Roman" w:cs="Times New Roman"/>
          <w:kern w:val="0"/>
          <w:sz w:val="24"/>
          <w14:ligatures w14:val="none"/>
        </w:rPr>
        <w:t>(28-30</w:t>
      </w:r>
      <w:bookmarkEnd w:id="4"/>
      <w:r w:rsidRPr="002E470D">
        <w:rPr>
          <w:rFonts w:ascii="Times New Roman" w:eastAsia="宋体" w:hAnsi="Times New Roman" w:cs="Times New Roman"/>
          <w:kern w:val="0"/>
          <w:sz w:val="24"/>
          <w14:ligatures w14:val="none"/>
        </w:rPr>
        <w:t xml:space="preserve">). </w:t>
      </w:r>
      <w:bookmarkStart w:id="7" w:name="OLE_LINK28"/>
      <w:bookmarkStart w:id="8" w:name="OLE_LINK27"/>
      <w:r w:rsidRPr="002E470D">
        <w:rPr>
          <w:rFonts w:ascii="Times New Roman" w:eastAsia="宋体" w:hAnsi="Times New Roman" w:cs="Times New Roman"/>
          <w:kern w:val="0"/>
          <w:sz w:val="24"/>
          <w14:ligatures w14:val="none"/>
        </w:rPr>
        <w:t xml:space="preserve">Preclinical studies have shown that targeting FASN or SCD1 can suppress tumor growth </w:t>
      </w:r>
      <w:bookmarkEnd w:id="7"/>
      <w:r w:rsidRPr="002E470D">
        <w:rPr>
          <w:rFonts w:ascii="Times New Roman" w:eastAsia="宋体" w:hAnsi="Times New Roman" w:cs="Times New Roman"/>
          <w:kern w:val="0"/>
          <w:sz w:val="24"/>
          <w14:ligatures w14:val="none"/>
        </w:rPr>
        <w:t>(31,32</w:t>
      </w:r>
      <w:bookmarkEnd w:id="8"/>
      <w:r w:rsidRPr="002E470D">
        <w:rPr>
          <w:rFonts w:ascii="Times New Roman" w:eastAsia="宋体" w:hAnsi="Times New Roman" w:cs="Times New Roman"/>
          <w:kern w:val="0"/>
          <w:sz w:val="24"/>
          <w14:ligatures w14:val="none"/>
        </w:rPr>
        <w:t xml:space="preserve">), and CDK4/6 inhibitors have demonstrated efficacy in liposarcoma (27). </w:t>
      </w:r>
      <w:bookmarkStart w:id="9" w:name="OLE_LINK11"/>
      <w:r w:rsidRPr="002E470D">
        <w:rPr>
          <w:rFonts w:ascii="Times New Roman" w:eastAsia="宋体" w:hAnsi="Times New Roman" w:cs="Times New Roman"/>
          <w:kern w:val="0"/>
          <w:sz w:val="24"/>
          <w14:ligatures w14:val="none"/>
        </w:rPr>
        <w:t>The score could also serve as a stratification biomarker in clinical trials targeting the PPARG/CD36 axis</w:t>
      </w:r>
      <w:bookmarkEnd w:id="9"/>
      <w:r w:rsidRPr="002E470D">
        <w:rPr>
          <w:rFonts w:ascii="Times New Roman" w:eastAsia="宋体" w:hAnsi="Times New Roman" w:cs="Times New Roman"/>
          <w:kern w:val="0"/>
          <w:sz w:val="24"/>
          <w14:ligatures w14:val="none"/>
        </w:rPr>
        <w:t>.</w:t>
      </w:r>
    </w:p>
    <w:p w14:paraId="09719E61"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bookmarkStart w:id="10" w:name="OLE_LINK12"/>
      <w:r w:rsidRPr="002E470D">
        <w:rPr>
          <w:rFonts w:ascii="Times New Roman" w:eastAsia="宋体" w:hAnsi="Times New Roman" w:cs="Times New Roman"/>
          <w:kern w:val="0"/>
          <w:sz w:val="24"/>
          <w14:ligatures w14:val="none"/>
        </w:rPr>
        <w:t xml:space="preserve">  Several limitations should be acknowledged. The sample size is small, especially for subgroup analyses (female patients, n=17). Our analysis is based on mRNA expression data; protein</w:t>
      </w:r>
      <w:r w:rsidRPr="002E470D">
        <w:rPr>
          <w:rFonts w:ascii="Times New Roman" w:eastAsia="宋体" w:hAnsi="Times New Roman" w:cs="Times New Roman"/>
          <w:kern w:val="0"/>
          <w:sz w:val="24"/>
          <w14:ligatures w14:val="none"/>
        </w:rPr>
        <w:noBreakHyphen/>
        <w:t>level validation would be valuable. Causal relationships cannot be established from correlative data; functional studies are needed. Drug sensitivity predictions are computational and require experimental validation. The sex</w:t>
      </w:r>
      <w:r w:rsidRPr="002E470D">
        <w:rPr>
          <w:rFonts w:ascii="Times New Roman" w:eastAsia="宋体" w:hAnsi="Times New Roman" w:cs="Times New Roman"/>
          <w:kern w:val="0"/>
          <w:sz w:val="24"/>
          <w14:ligatures w14:val="none"/>
        </w:rPr>
        <w:noBreakHyphen/>
        <w:t xml:space="preserve">specific finding requires confirmation in larger independent cohorts. </w:t>
      </w:r>
      <w:bookmarkStart w:id="11" w:name="OLE_LINK29"/>
      <w:r w:rsidRPr="002E470D">
        <w:rPr>
          <w:rFonts w:ascii="Times New Roman" w:eastAsia="宋体" w:hAnsi="Times New Roman" w:cs="Times New Roman"/>
          <w:kern w:val="0"/>
          <w:sz w:val="24"/>
          <w14:ligatures w14:val="none"/>
        </w:rPr>
        <w:t>Future studies should focus on prospective validation, functional interrogation of the PPARG/CD36 axis using CRISPR</w:t>
      </w:r>
      <w:r w:rsidRPr="002E470D">
        <w:rPr>
          <w:rFonts w:ascii="Times New Roman" w:eastAsia="宋体" w:hAnsi="Times New Roman" w:cs="Times New Roman"/>
          <w:kern w:val="0"/>
          <w:sz w:val="24"/>
          <w14:ligatures w14:val="none"/>
        </w:rPr>
        <w:noBreakHyphen/>
        <w:t xml:space="preserve">based approaches, and exploration of combining metabolic inhibitors with immune checkpoint </w:t>
      </w:r>
      <w:bookmarkEnd w:id="11"/>
      <w:r w:rsidRPr="002E470D">
        <w:rPr>
          <w:rFonts w:ascii="Times New Roman" w:eastAsia="宋体" w:hAnsi="Times New Roman" w:cs="Times New Roman"/>
          <w:kern w:val="0"/>
          <w:sz w:val="24"/>
          <w14:ligatures w14:val="none"/>
        </w:rPr>
        <w:t xml:space="preserve">blockade (33-35). </w:t>
      </w:r>
      <w:bookmarkStart w:id="12" w:name="OLE_LINK30"/>
      <w:r w:rsidRPr="002E470D">
        <w:rPr>
          <w:rFonts w:ascii="Times New Roman" w:eastAsia="宋体" w:hAnsi="Times New Roman" w:cs="Times New Roman"/>
          <w:kern w:val="0"/>
          <w:sz w:val="24"/>
          <w14:ligatures w14:val="none"/>
        </w:rPr>
        <w:t xml:space="preserve">Investigating the role of estrogen and androgen signaling may help explain the observed sex </w:t>
      </w:r>
      <w:bookmarkEnd w:id="12"/>
      <w:r w:rsidRPr="002E470D">
        <w:rPr>
          <w:rFonts w:ascii="Times New Roman" w:eastAsia="宋体" w:hAnsi="Times New Roman" w:cs="Times New Roman"/>
          <w:kern w:val="0"/>
          <w:sz w:val="24"/>
          <w14:ligatures w14:val="none"/>
        </w:rPr>
        <w:t>difference (36,37).</w:t>
      </w:r>
    </w:p>
    <w:bookmarkEnd w:id="10"/>
    <w:p w14:paraId="66D598E5" w14:textId="77777777" w:rsidR="00CE3857" w:rsidRPr="002E470D" w:rsidRDefault="00000000">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We developed a six</w:t>
      </w:r>
      <w:r w:rsidRPr="002E470D">
        <w:rPr>
          <w:rFonts w:ascii="Times New Roman" w:eastAsia="宋体" w:hAnsi="Times New Roman" w:cs="Times New Roman"/>
          <w:kern w:val="0"/>
          <w:sz w:val="24"/>
          <w14:ligatures w14:val="none"/>
        </w:rPr>
        <w:noBreakHyphen/>
        <w:t>gene lipid metabolism score that identifies DDLPS patients with poor prognosis and reflects PPARG/CD36 pathway activation. The score provides a clinically applicable risk</w:t>
      </w:r>
      <w:r w:rsidRPr="002E470D">
        <w:rPr>
          <w:rFonts w:ascii="Times New Roman" w:eastAsia="宋体" w:hAnsi="Times New Roman" w:cs="Times New Roman"/>
          <w:kern w:val="0"/>
          <w:sz w:val="24"/>
          <w14:ligatures w14:val="none"/>
        </w:rPr>
        <w:noBreakHyphen/>
        <w:t>stratification tool and highlights the PPARG/CD36 axis as a potential therapeutic target. The observed male</w:t>
      </w:r>
      <w:r w:rsidRPr="002E470D">
        <w:rPr>
          <w:rFonts w:ascii="Times New Roman" w:eastAsia="宋体" w:hAnsi="Times New Roman" w:cs="Times New Roman"/>
          <w:kern w:val="0"/>
          <w:sz w:val="24"/>
          <w14:ligatures w14:val="none"/>
        </w:rPr>
        <w:noBreakHyphen/>
        <w:t>specific prognostic effect warrants further investigation in larger cohorts.</w:t>
      </w:r>
    </w:p>
    <w:p w14:paraId="6D6ADF18" w14:textId="77777777" w:rsidR="0057228C" w:rsidRPr="002E470D" w:rsidRDefault="0057228C">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13" w:name="OLE_LINK36"/>
      <w:bookmarkStart w:id="14" w:name="OLE_LINK59"/>
    </w:p>
    <w:bookmarkEnd w:id="13"/>
    <w:p w14:paraId="52408000" w14:textId="77777777" w:rsidR="00731F6D" w:rsidRPr="002E470D" w:rsidRDefault="00731F6D" w:rsidP="00731F6D">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Abbreviations</w:t>
      </w:r>
    </w:p>
    <w:p w14:paraId="16BF32FD" w14:textId="77777777"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6174"/>
      </w:tblGrid>
      <w:tr w:rsidR="00731F6D" w:rsidRPr="002E470D" w14:paraId="42F99B96" w14:textId="77777777" w:rsidTr="004C2851">
        <w:tc>
          <w:tcPr>
            <w:tcW w:w="2122" w:type="dxa"/>
          </w:tcPr>
          <w:p w14:paraId="0A1D16E4" w14:textId="70C0CF3F"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ACLY</w:t>
            </w:r>
          </w:p>
        </w:tc>
        <w:tc>
          <w:tcPr>
            <w:tcW w:w="6174" w:type="dxa"/>
          </w:tcPr>
          <w:p w14:paraId="38B9F3D1" w14:textId="77777777" w:rsidR="00BC2F86" w:rsidRPr="002E470D" w:rsidRDefault="00BC2F86" w:rsidP="00BC2F8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ATP Citrate Lyase (Protein)</w:t>
            </w:r>
          </w:p>
          <w:p w14:paraId="1903D470" w14:textId="77777777" w:rsidR="00731F6D" w:rsidRPr="002E470D" w:rsidRDefault="00731F6D"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p>
        </w:tc>
      </w:tr>
      <w:tr w:rsidR="00731F6D" w:rsidRPr="002E470D" w14:paraId="62E636B5" w14:textId="77777777" w:rsidTr="004C2851">
        <w:tc>
          <w:tcPr>
            <w:tcW w:w="2122" w:type="dxa"/>
          </w:tcPr>
          <w:p w14:paraId="7CD2AD98" w14:textId="3549D4DA"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AUC</w:t>
            </w:r>
          </w:p>
        </w:tc>
        <w:tc>
          <w:tcPr>
            <w:tcW w:w="6174" w:type="dxa"/>
          </w:tcPr>
          <w:p w14:paraId="395A93D5" w14:textId="45EAFA10"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Area Under the Curve</w:t>
            </w:r>
          </w:p>
        </w:tc>
      </w:tr>
      <w:tr w:rsidR="00731F6D" w:rsidRPr="002E470D" w14:paraId="771BB514" w14:textId="77777777" w:rsidTr="004C2851">
        <w:tc>
          <w:tcPr>
            <w:tcW w:w="2122" w:type="dxa"/>
          </w:tcPr>
          <w:p w14:paraId="34CD9FE9" w14:textId="6148B591"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CD36</w:t>
            </w:r>
          </w:p>
        </w:tc>
        <w:tc>
          <w:tcPr>
            <w:tcW w:w="6174" w:type="dxa"/>
          </w:tcPr>
          <w:p w14:paraId="4F7C8589" w14:textId="69567684"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Cluster of Differentiation 36 / Fatty Acid Translocase</w:t>
            </w:r>
          </w:p>
        </w:tc>
      </w:tr>
      <w:tr w:rsidR="00731F6D" w:rsidRPr="002E470D" w14:paraId="40AECF49" w14:textId="77777777" w:rsidTr="004C2851">
        <w:tc>
          <w:tcPr>
            <w:tcW w:w="2122" w:type="dxa"/>
          </w:tcPr>
          <w:p w14:paraId="7CFEB813" w14:textId="387EE147"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CI</w:t>
            </w:r>
          </w:p>
        </w:tc>
        <w:tc>
          <w:tcPr>
            <w:tcW w:w="6174" w:type="dxa"/>
          </w:tcPr>
          <w:p w14:paraId="52E89BD3" w14:textId="7E9BCC16"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Confidence Interval</w:t>
            </w:r>
          </w:p>
        </w:tc>
      </w:tr>
      <w:tr w:rsidR="00731F6D" w:rsidRPr="002E470D" w14:paraId="514C2626" w14:textId="77777777" w:rsidTr="004C2851">
        <w:tc>
          <w:tcPr>
            <w:tcW w:w="2122" w:type="dxa"/>
          </w:tcPr>
          <w:p w14:paraId="0D52F100" w14:textId="3F31DB4E"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DCA</w:t>
            </w:r>
          </w:p>
        </w:tc>
        <w:tc>
          <w:tcPr>
            <w:tcW w:w="6174" w:type="dxa"/>
          </w:tcPr>
          <w:p w14:paraId="41F4396F" w14:textId="718434E5"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Decision Curve Analysis</w:t>
            </w:r>
          </w:p>
        </w:tc>
      </w:tr>
      <w:tr w:rsidR="00731F6D" w:rsidRPr="002E470D" w14:paraId="0BDEF3C4" w14:textId="77777777" w:rsidTr="004C2851">
        <w:tc>
          <w:tcPr>
            <w:tcW w:w="2122" w:type="dxa"/>
          </w:tcPr>
          <w:p w14:paraId="71605CF0" w14:textId="7E855CAC" w:rsidR="00731F6D" w:rsidRPr="002E470D" w:rsidRDefault="00BC2F86" w:rsidP="00BC2F8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DDLPS</w:t>
            </w:r>
          </w:p>
        </w:tc>
        <w:tc>
          <w:tcPr>
            <w:tcW w:w="6174" w:type="dxa"/>
          </w:tcPr>
          <w:p w14:paraId="18DA5AED" w14:textId="378D3BC6"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Dedifferentiated Liposarcoma</w:t>
            </w:r>
          </w:p>
        </w:tc>
      </w:tr>
      <w:tr w:rsidR="00BC2F86" w:rsidRPr="002E470D" w14:paraId="68DF668C" w14:textId="77777777" w:rsidTr="004C2851">
        <w:tc>
          <w:tcPr>
            <w:tcW w:w="2122" w:type="dxa"/>
          </w:tcPr>
          <w:p w14:paraId="4E5E5115" w14:textId="7A2E5695"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FASN</w:t>
            </w:r>
          </w:p>
        </w:tc>
        <w:tc>
          <w:tcPr>
            <w:tcW w:w="6174" w:type="dxa"/>
          </w:tcPr>
          <w:p w14:paraId="13596E0B" w14:textId="2F2EE0CA"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Fatty Acid Synthase</w:t>
            </w:r>
          </w:p>
        </w:tc>
      </w:tr>
      <w:tr w:rsidR="00BC2F86" w:rsidRPr="002E470D" w14:paraId="7D2BCF69" w14:textId="77777777" w:rsidTr="004C2851">
        <w:tc>
          <w:tcPr>
            <w:tcW w:w="2122" w:type="dxa"/>
          </w:tcPr>
          <w:p w14:paraId="5D6DFECC" w14:textId="51636C2C"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FDR</w:t>
            </w:r>
          </w:p>
        </w:tc>
        <w:tc>
          <w:tcPr>
            <w:tcW w:w="6174" w:type="dxa"/>
          </w:tcPr>
          <w:p w14:paraId="5FD4AE33" w14:textId="79B634E0"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False Discovery Rate</w:t>
            </w:r>
          </w:p>
        </w:tc>
      </w:tr>
      <w:tr w:rsidR="00BC2F86" w:rsidRPr="002E470D" w14:paraId="250B2A82" w14:textId="77777777" w:rsidTr="004C2851">
        <w:tc>
          <w:tcPr>
            <w:tcW w:w="2122" w:type="dxa"/>
          </w:tcPr>
          <w:p w14:paraId="14C0FD23" w14:textId="56AB2623"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FC</w:t>
            </w:r>
          </w:p>
        </w:tc>
        <w:tc>
          <w:tcPr>
            <w:tcW w:w="6174" w:type="dxa"/>
          </w:tcPr>
          <w:p w14:paraId="4ABBE348" w14:textId="7AEC63D5"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Fold Change</w:t>
            </w:r>
          </w:p>
        </w:tc>
      </w:tr>
      <w:tr w:rsidR="00BC2F86" w:rsidRPr="002E470D" w14:paraId="1B5DD48E" w14:textId="77777777" w:rsidTr="004C2851">
        <w:tc>
          <w:tcPr>
            <w:tcW w:w="2122" w:type="dxa"/>
          </w:tcPr>
          <w:p w14:paraId="386A7F8A" w14:textId="638FA8B7"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FNCLCC</w:t>
            </w:r>
          </w:p>
        </w:tc>
        <w:tc>
          <w:tcPr>
            <w:tcW w:w="6174" w:type="dxa"/>
          </w:tcPr>
          <w:p w14:paraId="68ABA174" w14:textId="7204E302"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Fédération Nationale des Centres de Lutte Contre le Cancer</w:t>
            </w:r>
          </w:p>
        </w:tc>
      </w:tr>
      <w:tr w:rsidR="00BC2F86" w:rsidRPr="002E470D" w14:paraId="101A3B33" w14:textId="77777777" w:rsidTr="004C2851">
        <w:tc>
          <w:tcPr>
            <w:tcW w:w="2122" w:type="dxa"/>
          </w:tcPr>
          <w:p w14:paraId="79B01743" w14:textId="2A38971F"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GEO</w:t>
            </w:r>
          </w:p>
        </w:tc>
        <w:tc>
          <w:tcPr>
            <w:tcW w:w="6174" w:type="dxa"/>
          </w:tcPr>
          <w:p w14:paraId="737950B6" w14:textId="730B6514"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Gene Expression Omnibus</w:t>
            </w:r>
          </w:p>
        </w:tc>
      </w:tr>
      <w:tr w:rsidR="00BC2F86" w:rsidRPr="002E470D" w14:paraId="7C13FBB0" w14:textId="77777777" w:rsidTr="004C2851">
        <w:tc>
          <w:tcPr>
            <w:tcW w:w="2122" w:type="dxa"/>
          </w:tcPr>
          <w:p w14:paraId="595DC85A" w14:textId="07D2862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GSEA</w:t>
            </w:r>
          </w:p>
        </w:tc>
        <w:tc>
          <w:tcPr>
            <w:tcW w:w="6174" w:type="dxa"/>
          </w:tcPr>
          <w:p w14:paraId="7DDC00B4" w14:textId="030CF48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Gene Set Enrichment Analysis</w:t>
            </w:r>
          </w:p>
        </w:tc>
      </w:tr>
      <w:tr w:rsidR="00BC2F86" w:rsidRPr="002E470D" w14:paraId="0079EB03" w14:textId="77777777" w:rsidTr="004C2851">
        <w:tc>
          <w:tcPr>
            <w:tcW w:w="2122" w:type="dxa"/>
          </w:tcPr>
          <w:p w14:paraId="25AB8A59" w14:textId="72375D9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HMGCR</w:t>
            </w:r>
          </w:p>
        </w:tc>
        <w:tc>
          <w:tcPr>
            <w:tcW w:w="6174" w:type="dxa"/>
          </w:tcPr>
          <w:p w14:paraId="40E7321A" w14:textId="798176C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3-Hydroxy-3-Methylglutaryl-CoA Reductase</w:t>
            </w:r>
          </w:p>
        </w:tc>
      </w:tr>
      <w:tr w:rsidR="00BC2F86" w:rsidRPr="002E470D" w14:paraId="15D61228" w14:textId="77777777" w:rsidTr="004C2851">
        <w:tc>
          <w:tcPr>
            <w:tcW w:w="2122" w:type="dxa"/>
          </w:tcPr>
          <w:p w14:paraId="60398437" w14:textId="09D049EE"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HR</w:t>
            </w:r>
          </w:p>
        </w:tc>
        <w:tc>
          <w:tcPr>
            <w:tcW w:w="6174" w:type="dxa"/>
          </w:tcPr>
          <w:p w14:paraId="19921FAE" w14:textId="44C9850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Hazard Ratio</w:t>
            </w:r>
          </w:p>
        </w:tc>
      </w:tr>
      <w:tr w:rsidR="00BC2F86" w:rsidRPr="002E470D" w14:paraId="2BAC52F4" w14:textId="77777777" w:rsidTr="004C2851">
        <w:tc>
          <w:tcPr>
            <w:tcW w:w="2122" w:type="dxa"/>
          </w:tcPr>
          <w:p w14:paraId="508347FF" w14:textId="5C24C504"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KEGG</w:t>
            </w:r>
          </w:p>
        </w:tc>
        <w:tc>
          <w:tcPr>
            <w:tcW w:w="6174" w:type="dxa"/>
          </w:tcPr>
          <w:p w14:paraId="576DD5B5" w14:textId="20C1FEC5"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Kyoto Encyclopedia of Genes and Genomes</w:t>
            </w:r>
          </w:p>
        </w:tc>
      </w:tr>
      <w:tr w:rsidR="00BC2F86" w:rsidRPr="002E470D" w14:paraId="5231CBE3" w14:textId="77777777" w:rsidTr="004C2851">
        <w:tc>
          <w:tcPr>
            <w:tcW w:w="2122" w:type="dxa"/>
          </w:tcPr>
          <w:p w14:paraId="0CF71816" w14:textId="7E82EDC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log2CPM</w:t>
            </w:r>
          </w:p>
        </w:tc>
        <w:tc>
          <w:tcPr>
            <w:tcW w:w="6174" w:type="dxa"/>
          </w:tcPr>
          <w:p w14:paraId="7E63B55E" w14:textId="14F39A7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log2 Counts Per Million</w:t>
            </w:r>
          </w:p>
        </w:tc>
      </w:tr>
      <w:tr w:rsidR="00BC2F86" w:rsidRPr="002E470D" w14:paraId="7C83A51D" w14:textId="77777777" w:rsidTr="004C2851">
        <w:tc>
          <w:tcPr>
            <w:tcW w:w="2122" w:type="dxa"/>
          </w:tcPr>
          <w:p w14:paraId="5B679D4D" w14:textId="368E22A5"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MSigDB</w:t>
            </w:r>
          </w:p>
        </w:tc>
        <w:tc>
          <w:tcPr>
            <w:tcW w:w="6174" w:type="dxa"/>
          </w:tcPr>
          <w:p w14:paraId="310A8B02" w14:textId="0051DE1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Molecular Signatures Database</w:t>
            </w:r>
          </w:p>
        </w:tc>
      </w:tr>
      <w:tr w:rsidR="00BC2F86" w:rsidRPr="002E470D" w14:paraId="4CD1DE37" w14:textId="77777777" w:rsidTr="004C2851">
        <w:tc>
          <w:tcPr>
            <w:tcW w:w="2122" w:type="dxa"/>
          </w:tcPr>
          <w:p w14:paraId="61623E1F" w14:textId="4AB343E7"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NES</w:t>
            </w:r>
          </w:p>
        </w:tc>
        <w:tc>
          <w:tcPr>
            <w:tcW w:w="6174" w:type="dxa"/>
          </w:tcPr>
          <w:p w14:paraId="10F61D61" w14:textId="28517B7A"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Normalized Enrichment Score</w:t>
            </w:r>
          </w:p>
        </w:tc>
      </w:tr>
      <w:tr w:rsidR="00BC2F86" w:rsidRPr="002E470D" w14:paraId="790C827A" w14:textId="77777777" w:rsidTr="004C2851">
        <w:tc>
          <w:tcPr>
            <w:tcW w:w="2122" w:type="dxa"/>
          </w:tcPr>
          <w:p w14:paraId="2A46C4DD" w14:textId="10E3CBE3"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OS</w:t>
            </w:r>
          </w:p>
        </w:tc>
        <w:tc>
          <w:tcPr>
            <w:tcW w:w="6174" w:type="dxa"/>
          </w:tcPr>
          <w:p w14:paraId="77FB26CD" w14:textId="1A854EA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Overall Survival</w:t>
            </w:r>
          </w:p>
        </w:tc>
      </w:tr>
      <w:tr w:rsidR="00BC2F86" w:rsidRPr="002E470D" w14:paraId="4ED1C376" w14:textId="77777777" w:rsidTr="004C2851">
        <w:tc>
          <w:tcPr>
            <w:tcW w:w="2122" w:type="dxa"/>
          </w:tcPr>
          <w:p w14:paraId="6FF673D6" w14:textId="2492370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PCA</w:t>
            </w:r>
          </w:p>
        </w:tc>
        <w:tc>
          <w:tcPr>
            <w:tcW w:w="6174" w:type="dxa"/>
          </w:tcPr>
          <w:p w14:paraId="5CC6B9C6" w14:textId="78D77A3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Principal Component Analysis</w:t>
            </w:r>
          </w:p>
        </w:tc>
      </w:tr>
      <w:tr w:rsidR="00BC2F86" w:rsidRPr="002E470D" w14:paraId="652320F7" w14:textId="77777777" w:rsidTr="004C2851">
        <w:tc>
          <w:tcPr>
            <w:tcW w:w="2122" w:type="dxa"/>
          </w:tcPr>
          <w:p w14:paraId="60445A3C" w14:textId="3A3D4BC1"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PPARG</w:t>
            </w:r>
          </w:p>
        </w:tc>
        <w:tc>
          <w:tcPr>
            <w:tcW w:w="6174" w:type="dxa"/>
          </w:tcPr>
          <w:p w14:paraId="39469DDE" w14:textId="77F5994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Proliferator-Activated Receptor Gamma</w:t>
            </w:r>
          </w:p>
        </w:tc>
      </w:tr>
      <w:bookmarkEnd w:id="14"/>
    </w:tbl>
    <w:p w14:paraId="6D7359DC" w14:textId="77777777" w:rsidR="00276B3C" w:rsidRPr="002E470D" w:rsidRDefault="00276B3C" w:rsidP="0057228C">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p>
    <w:p w14:paraId="5FCAA604" w14:textId="14F3F10E"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Data availability statement</w:t>
      </w:r>
    </w:p>
    <w:p w14:paraId="705A1ECE" w14:textId="77777777"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transcriptomic and clinical data from the TCGA-SARC are available at the Genomic Data Commons portal (https://portal.gdc.cancer.gov/). Gene Expression Omnibus (https://www.ncbi.nlm.nih.gov/geo/) GSE21122 and GSE159659 are available. The Supplementary Materials contain all of the processed data underlying this study, including a list of the genes that were determined to be differentially expressed (Table S1), a list of the core genes (Table S2), results of the GSEA enrichment (Table S3), and a list of the genes used to mark the immune cell types (Table S4). The analysis code has been uploaded to GitHub (https://github.com/wqxrmyy/LipidScore_DDLPS). The annotation files for the platform can be downloaded from the GEO record associated with the platform (GPL570, GPL23159). The additional information needed to reanalyse the data reported in this study are available from the corresponding author on reasonable request.</w:t>
      </w:r>
    </w:p>
    <w:p w14:paraId="1802613C" w14:textId="77777777"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08236854" w14:textId="2BA29A33" w:rsidR="00CE3857" w:rsidRPr="002E470D" w:rsidRDefault="00617D75"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Authors’ contributions</w:t>
      </w:r>
    </w:p>
    <w:p w14:paraId="51662685" w14:textId="77777777" w:rsidR="00CE3857" w:rsidRPr="002E470D" w:rsidRDefault="00000000">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W.X.: conceptualization, formal analysis, methodology, software, visualization, writing – original draft, writing – review and editing. C.L.: data curation, investigation, resources, writing – review and editing. J.S.: data curation, investigation, methodology, writing – review and editing. J.L.: investigation, resources, validation, writing – review and editing. S.G.: data curation, investigation, literature search. M.J.: methodology, software, validation, writing – review and editing. M.W.: investigation, resources, supervision, writing – review and editing. J.H.: data curation, project administration, writing – review and editing. Y.D.: methodology, software, validation, writing – review and editing. H.M.: resources, supervision, writing – review and editing. All authors have read and approved the final version. </w:t>
      </w:r>
    </w:p>
    <w:p w14:paraId="56E0AB82" w14:textId="77777777" w:rsidR="00CE3857" w:rsidRPr="002E470D" w:rsidRDefault="00CE385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07248EFE"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bookmarkStart w:id="15" w:name="OLE_LINK55"/>
      <w:r w:rsidRPr="002E470D">
        <w:rPr>
          <w:rFonts w:ascii="Times New Roman" w:eastAsia="宋体" w:hAnsi="Times New Roman" w:cs="Times New Roman"/>
          <w:b/>
          <w:bCs/>
          <w:kern w:val="0"/>
          <w:sz w:val="24"/>
          <w14:ligatures w14:val="none"/>
        </w:rPr>
        <w:t>Acknowledgments</w:t>
      </w:r>
    </w:p>
    <w:p w14:paraId="208E64C4"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authors would like to acknowledge the patients and their families for participation in TCGA and GEO studies. This study was funded by the Natural Science Foundation of Ningbo (2024J274).</w:t>
      </w:r>
    </w:p>
    <w:p w14:paraId="11BC796A"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Declaration of interests</w:t>
      </w:r>
    </w:p>
    <w:p w14:paraId="068A928E"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 authors have no competing interests.</w:t>
      </w:r>
    </w:p>
    <w:p w14:paraId="0D250A29"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Declaration of generative ai and ai-assis</w:t>
      </w:r>
    </w:p>
    <w:p w14:paraId="61037FB0"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In the course of creating this work, AI-assisted tools were utilized to enhance the clarity and quality of the text. </w:t>
      </w:r>
    </w:p>
    <w:p w14:paraId="5E467700"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Note</w:t>
      </w:r>
    </w:p>
    <w:p w14:paraId="58377560" w14:textId="20373AE9"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This article contains supplementary data that are available at Cancer Research Online (http://cancerres.aacrjournals.org/).</w:t>
      </w:r>
    </w:p>
    <w:p w14:paraId="20C60C59" w14:textId="1D1C0D50" w:rsidR="00CE3857" w:rsidRPr="002E470D" w:rsidRDefault="00000000"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References</w:t>
      </w:r>
    </w:p>
    <w:bookmarkEnd w:id="15"/>
    <w:p w14:paraId="21066F5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 </w:t>
      </w:r>
      <w:bookmarkStart w:id="16" w:name="OLE_LINK93"/>
      <w:r w:rsidRPr="002E470D">
        <w:rPr>
          <w:rFonts w:ascii="Times New Roman" w:eastAsia="宋体" w:hAnsi="Times New Roman" w:cs="Times New Roman"/>
          <w:kern w:val="0"/>
          <w:sz w:val="24"/>
          <w14:ligatures w14:val="none"/>
        </w:rPr>
        <w:t>Mori</w:t>
      </w:r>
      <w:bookmarkEnd w:id="16"/>
      <w:r w:rsidRPr="002E470D">
        <w:rPr>
          <w:rFonts w:ascii="Times New Roman" w:eastAsia="宋体" w:hAnsi="Times New Roman" w:cs="Times New Roman"/>
          <w:kern w:val="0"/>
          <w:sz w:val="24"/>
          <w14:ligatures w14:val="none"/>
        </w:rPr>
        <w:t xml:space="preserve"> T, Yamada Y, Kinoshita I, Kohashi K, Yamamoto H, Ito Y, et al. Clinicopathological and histopathological review of dedifferentiated liposarcoma: a comprehensive study of 123 primary tumours. Histopathology. England; 2022;80:538–57.</w:t>
      </w:r>
    </w:p>
    <w:p w14:paraId="0EEAB8F9"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 </w:t>
      </w:r>
      <w:bookmarkStart w:id="17" w:name="OLE_LINK89"/>
      <w:r w:rsidRPr="002E470D">
        <w:rPr>
          <w:rFonts w:ascii="Times New Roman" w:eastAsia="宋体" w:hAnsi="Times New Roman" w:cs="Times New Roman"/>
          <w:kern w:val="0"/>
          <w:sz w:val="24"/>
          <w14:ligatures w14:val="none"/>
        </w:rPr>
        <w:t>Jirovec</w:t>
      </w:r>
      <w:bookmarkEnd w:id="17"/>
      <w:r w:rsidRPr="002E470D">
        <w:rPr>
          <w:rFonts w:ascii="Times New Roman" w:eastAsia="宋体" w:hAnsi="Times New Roman" w:cs="Times New Roman"/>
          <w:kern w:val="0"/>
          <w:sz w:val="24"/>
          <w14:ligatures w14:val="none"/>
        </w:rPr>
        <w:t xml:space="preserve"> A, Flaman A, Godbout E, Serrano D, Werier J, Purgina B, et al. Immune profiling of dedifferentiated liposarcoma and identification of novel antigens for targeted immunotherapy. Sci Rep. England; 2024;14:11254.</w:t>
      </w:r>
    </w:p>
    <w:p w14:paraId="5DC6E3CC"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3. </w:t>
      </w:r>
      <w:bookmarkStart w:id="18" w:name="OLE_LINK102"/>
      <w:r w:rsidRPr="002E470D">
        <w:rPr>
          <w:rFonts w:ascii="Times New Roman" w:eastAsia="宋体" w:hAnsi="Times New Roman" w:cs="Times New Roman"/>
          <w:kern w:val="0"/>
          <w:sz w:val="24"/>
          <w14:ligatures w14:val="none"/>
        </w:rPr>
        <w:t>Schroeder</w:t>
      </w:r>
      <w:bookmarkEnd w:id="18"/>
      <w:r w:rsidRPr="002E470D">
        <w:rPr>
          <w:rFonts w:ascii="Times New Roman" w:eastAsia="宋体" w:hAnsi="Times New Roman" w:cs="Times New Roman"/>
          <w:kern w:val="0"/>
          <w:sz w:val="24"/>
          <w14:ligatures w14:val="none"/>
        </w:rPr>
        <w:t xml:space="preserve"> BA, LaFranzo NA, LaFleur BJ, Gittelman RM, Vignali M, Zhang S, et al. CD4+ T cell and M2 macrophage infiltration predict dedifferentiated liposarcoma patient outcomes. J Immunother Cancer. England; 2021;9.</w:t>
      </w:r>
    </w:p>
    <w:p w14:paraId="321E03E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4. </w:t>
      </w:r>
      <w:bookmarkStart w:id="19" w:name="OLE_LINK101"/>
      <w:r w:rsidRPr="002E470D">
        <w:rPr>
          <w:rFonts w:ascii="Times New Roman" w:eastAsia="宋体" w:hAnsi="Times New Roman" w:cs="Times New Roman"/>
          <w:kern w:val="0"/>
          <w:sz w:val="24"/>
          <w14:ligatures w14:val="none"/>
        </w:rPr>
        <w:t>Sanfilippo</w:t>
      </w:r>
      <w:bookmarkEnd w:id="19"/>
      <w:r w:rsidRPr="002E470D">
        <w:rPr>
          <w:rFonts w:ascii="Times New Roman" w:eastAsia="宋体" w:hAnsi="Times New Roman" w:cs="Times New Roman"/>
          <w:kern w:val="0"/>
          <w:sz w:val="24"/>
          <w14:ligatures w14:val="none"/>
        </w:rPr>
        <w:t xml:space="preserve"> R, Hayward RL, Musoro J, Benson C, Leahy MG, Brunello A, et al. Activity of Cabazitaxel in Metastatic or Inoperable Locally Advanced Dedifferentiated Liposarcoma: A Phase 2 Study of the EORTC Soft Tissue and Bone  Sarcoma Group (STBSG). JAMA Oncol. United States; 2022;8:1420–5.</w:t>
      </w:r>
    </w:p>
    <w:p w14:paraId="44891D0C"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5. </w:t>
      </w:r>
      <w:bookmarkStart w:id="20" w:name="OLE_LINK85"/>
      <w:r w:rsidRPr="002E470D">
        <w:rPr>
          <w:rFonts w:ascii="Times New Roman" w:eastAsia="宋体" w:hAnsi="Times New Roman" w:cs="Times New Roman"/>
          <w:kern w:val="0"/>
          <w:sz w:val="24"/>
          <w14:ligatures w14:val="none"/>
        </w:rPr>
        <w:t>Gounder</w:t>
      </w:r>
      <w:bookmarkEnd w:id="20"/>
      <w:r w:rsidRPr="002E470D">
        <w:rPr>
          <w:rFonts w:ascii="Times New Roman" w:eastAsia="宋体" w:hAnsi="Times New Roman" w:cs="Times New Roman"/>
          <w:kern w:val="0"/>
          <w:sz w:val="24"/>
          <w14:ligatures w14:val="none"/>
        </w:rPr>
        <w:t xml:space="preserve"> MM, Razak AA, Somaiah N, Chawla S, Martin-Broto J, Grignani G, et al. Selinexor in Advanced, Metastatic Dedifferentiated Liposarcoma: A Multinational, Randomized, Double-Blind, Placebo-Controlled Trial. J Clin Oncol. United States; 2022;40:2479–90.</w:t>
      </w:r>
    </w:p>
    <w:p w14:paraId="5B2C248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6. </w:t>
      </w:r>
      <w:bookmarkStart w:id="21" w:name="OLE_LINK77"/>
      <w:r w:rsidRPr="002E470D">
        <w:rPr>
          <w:rFonts w:ascii="Times New Roman" w:eastAsia="宋体" w:hAnsi="Times New Roman" w:cs="Times New Roman"/>
          <w:kern w:val="0"/>
          <w:sz w:val="24"/>
          <w14:ligatures w14:val="none"/>
        </w:rPr>
        <w:t>Casier J</w:t>
      </w:r>
      <w:bookmarkEnd w:id="21"/>
      <w:r w:rsidRPr="002E470D">
        <w:rPr>
          <w:rFonts w:ascii="Times New Roman" w:eastAsia="宋体" w:hAnsi="Times New Roman" w:cs="Times New Roman"/>
          <w:kern w:val="0"/>
          <w:sz w:val="24"/>
          <w14:ligatures w14:val="none"/>
        </w:rPr>
        <w:t>, Timmermans I, Laenen A, Hompes D, Douchy T, Sciot R, et al. Clinical course and prognostic factors of patients with dedifferentiated liposarcoma: a retrospective analysis. BMC Cancer. England; 2025;25:517.</w:t>
      </w:r>
    </w:p>
    <w:p w14:paraId="47835B9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7. Wang X, Ye J, Wu Y, Zhang H, Li C, Liu B, et al. Integrated lipidomics and RNA-seq reveal prognostic biomarkers in well-differentiated and dedifferentiated retroperitoneal liposarcoma. Cancer Cell Int. England; 2024;24:404.</w:t>
      </w:r>
    </w:p>
    <w:p w14:paraId="155C867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8. </w:t>
      </w:r>
      <w:bookmarkStart w:id="22" w:name="OLE_LINK92"/>
      <w:r w:rsidRPr="002E470D">
        <w:rPr>
          <w:rFonts w:ascii="Times New Roman" w:eastAsia="宋体" w:hAnsi="Times New Roman" w:cs="Times New Roman"/>
          <w:kern w:val="0"/>
          <w:sz w:val="24"/>
          <w14:ligatures w14:val="none"/>
        </w:rPr>
        <w:t>Manteaux</w:t>
      </w:r>
      <w:bookmarkEnd w:id="22"/>
      <w:r w:rsidRPr="002E470D">
        <w:rPr>
          <w:rFonts w:ascii="Times New Roman" w:eastAsia="宋体" w:hAnsi="Times New Roman" w:cs="Times New Roman"/>
          <w:kern w:val="0"/>
          <w:sz w:val="24"/>
          <w14:ligatures w14:val="none"/>
        </w:rPr>
        <w:t xml:space="preserve"> G, Amsel A, Riquier-Morcant B, Prieto Romero J, Gayte L, Fourneaux B, et al. A metabolic crosstalk between liposarcoma and muscle sustains tumor growth. Nat Commun. England; 2024;15:7940.</w:t>
      </w:r>
    </w:p>
    <w:p w14:paraId="199E82CE"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9. </w:t>
      </w:r>
      <w:bookmarkStart w:id="23" w:name="OLE_LINK96"/>
      <w:r w:rsidRPr="002E470D">
        <w:rPr>
          <w:rFonts w:ascii="Times New Roman" w:eastAsia="宋体" w:hAnsi="Times New Roman" w:cs="Times New Roman"/>
          <w:kern w:val="0"/>
          <w:sz w:val="24"/>
          <w14:ligatures w14:val="none"/>
        </w:rPr>
        <w:t>Pope</w:t>
      </w:r>
      <w:bookmarkEnd w:id="23"/>
      <w:r w:rsidRPr="002E470D">
        <w:rPr>
          <w:rFonts w:ascii="Times New Roman" w:eastAsia="宋体" w:hAnsi="Times New Roman" w:cs="Times New Roman"/>
          <w:kern w:val="0"/>
          <w:sz w:val="24"/>
          <w14:ligatures w14:val="none"/>
        </w:rPr>
        <w:t xml:space="preserve"> LE, Dixon SJ. Regulation of ferroptosis by lipid metabolism. Trends Cell Biol. England; 2023;33:1077–87.</w:t>
      </w:r>
    </w:p>
    <w:p w14:paraId="710CE5E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10</w:t>
      </w:r>
      <w:bookmarkStart w:id="24" w:name="OLE_LINK106"/>
      <w:r w:rsidRPr="002E470D">
        <w:rPr>
          <w:rFonts w:ascii="Times New Roman" w:eastAsia="宋体" w:hAnsi="Times New Roman" w:cs="Times New Roman"/>
          <w:kern w:val="0"/>
          <w:sz w:val="24"/>
          <w14:ligatures w14:val="none"/>
        </w:rPr>
        <w:t>. Xiao</w:t>
      </w:r>
      <w:bookmarkEnd w:id="24"/>
      <w:r w:rsidRPr="002E470D">
        <w:rPr>
          <w:rFonts w:ascii="Times New Roman" w:eastAsia="宋体" w:hAnsi="Times New Roman" w:cs="Times New Roman"/>
          <w:kern w:val="0"/>
          <w:sz w:val="24"/>
          <w14:ligatures w14:val="none"/>
        </w:rPr>
        <w:t xml:space="preserve"> W, Sheng J, Liu C, Li J, Shu P, Jiang M, et al. mTORC2 regulates lipid metabolism-driven TAMs via the PPAR-γ/CD36 pathway to promote liposarcoma progression. Adipocyte. United States; 2026;15:2665903.</w:t>
      </w:r>
    </w:p>
    <w:p w14:paraId="16DDFE8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11. </w:t>
      </w:r>
      <w:bookmarkStart w:id="25" w:name="OLE_LINK58"/>
      <w:r w:rsidRPr="002E470D">
        <w:rPr>
          <w:rFonts w:ascii="Times New Roman" w:eastAsia="宋体" w:hAnsi="Times New Roman" w:cs="Times New Roman"/>
          <w:kern w:val="0"/>
          <w:sz w:val="24"/>
          <w14:ligatures w14:val="none"/>
        </w:rPr>
        <w:t>Campbell D</w:t>
      </w:r>
      <w:bookmarkEnd w:id="25"/>
      <w:r w:rsidRPr="002E470D">
        <w:rPr>
          <w:rFonts w:ascii="Times New Roman" w:eastAsia="宋体" w:hAnsi="Times New Roman" w:cs="Times New Roman"/>
          <w:kern w:val="0"/>
          <w:sz w:val="24"/>
          <w14:ligatures w14:val="none"/>
        </w:rPr>
        <w:t>, Ramsey S, Veenstra D, Pan M, Sen S, Litton G, et al. Diagnosis, Treatment, and Unmet Needs of Dedifferentiated Liposarcoma in the United States: A Multidisciplinary Delphi Study. Cancers (Basel). Switzerland; 2025;17.</w:t>
      </w:r>
    </w:p>
    <w:p w14:paraId="5D797E4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12. </w:t>
      </w:r>
      <w:bookmarkStart w:id="26" w:name="OLE_LINK83"/>
      <w:r w:rsidRPr="002E470D">
        <w:rPr>
          <w:rFonts w:ascii="Times New Roman" w:eastAsia="宋体" w:hAnsi="Times New Roman" w:cs="Times New Roman"/>
          <w:kern w:val="0"/>
          <w:sz w:val="24"/>
          <w14:ligatures w14:val="none"/>
        </w:rPr>
        <w:t>Frapolli</w:t>
      </w:r>
      <w:bookmarkEnd w:id="26"/>
      <w:r w:rsidRPr="002E470D">
        <w:rPr>
          <w:rFonts w:ascii="Times New Roman" w:eastAsia="宋体" w:hAnsi="Times New Roman" w:cs="Times New Roman"/>
          <w:kern w:val="0"/>
          <w:sz w:val="24"/>
          <w14:ligatures w14:val="none"/>
        </w:rPr>
        <w:t xml:space="preserve"> R, Bello E, Ponzo M, Craparotta I, Mannarino L, Ballabio S, et al. Correction: Combination of PPARγ Agonist Pioglitazone and Trabectedin Induce Adipocyte Differentiation to Overcome Trabectedin Resistance in Myxoid  Liposarcomas. Clin Cancer Res. United States; 2020;26:1199.</w:t>
      </w:r>
    </w:p>
    <w:p w14:paraId="18EEDE83"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13. </w:t>
      </w:r>
      <w:bookmarkStart w:id="27" w:name="OLE_LINK87"/>
      <w:r w:rsidRPr="002E470D">
        <w:rPr>
          <w:rFonts w:ascii="Times New Roman" w:eastAsia="宋体" w:hAnsi="Times New Roman" w:cs="Times New Roman"/>
          <w:kern w:val="0"/>
          <w:sz w:val="24"/>
          <w14:ligatures w14:val="none"/>
        </w:rPr>
        <w:t>Greto</w:t>
      </w:r>
      <w:bookmarkEnd w:id="27"/>
      <w:r w:rsidRPr="002E470D">
        <w:rPr>
          <w:rFonts w:ascii="Times New Roman" w:eastAsia="宋体" w:hAnsi="Times New Roman" w:cs="Times New Roman"/>
          <w:kern w:val="0"/>
          <w:sz w:val="24"/>
          <w14:ligatures w14:val="none"/>
        </w:rPr>
        <w:t xml:space="preserve"> D, Saieva C, Loi M, Terziani F, Visani L, Garlatti P, et al. Influence of age and subtype in outcome of operable liposarcoma. Radiol Med. Italy; 2019;124:290–300.</w:t>
      </w:r>
    </w:p>
    <w:p w14:paraId="1EDB0436"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14.</w:t>
      </w:r>
      <w:bookmarkStart w:id="28" w:name="OLE_LINK94"/>
      <w:r w:rsidRPr="002E470D">
        <w:rPr>
          <w:rFonts w:ascii="Times New Roman" w:eastAsia="宋体" w:hAnsi="Times New Roman" w:cs="Times New Roman"/>
          <w:kern w:val="0"/>
          <w:sz w:val="24"/>
          <w14:ligatures w14:val="none"/>
        </w:rPr>
        <w:t>Pan M</w:t>
      </w:r>
      <w:bookmarkEnd w:id="28"/>
      <w:r w:rsidRPr="002E470D">
        <w:rPr>
          <w:rFonts w:ascii="Times New Roman" w:eastAsia="宋体" w:hAnsi="Times New Roman" w:cs="Times New Roman"/>
          <w:kern w:val="0"/>
          <w:sz w:val="24"/>
          <w14:ligatures w14:val="none"/>
        </w:rPr>
        <w:t>, Zhou MY, Jiang C, Zhang Z, Bui NQ, Bien J, et al. Sex-dependent Prognosis of Patients with Advanced Soft Tissue Sarcoma. Clin Cancer Res. United States; 2024;30:413–9.</w:t>
      </w:r>
    </w:p>
    <w:p w14:paraId="533D3D1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15. </w:t>
      </w:r>
      <w:bookmarkStart w:id="29" w:name="OLE_LINK99"/>
      <w:r w:rsidRPr="002E470D">
        <w:rPr>
          <w:rFonts w:ascii="Times New Roman" w:eastAsia="宋体" w:hAnsi="Times New Roman" w:cs="Times New Roman"/>
          <w:kern w:val="0"/>
          <w:sz w:val="24"/>
          <w14:ligatures w14:val="none"/>
        </w:rPr>
        <w:t>Rosen</w:t>
      </w:r>
      <w:bookmarkEnd w:id="29"/>
      <w:r w:rsidRPr="002E470D">
        <w:rPr>
          <w:rFonts w:ascii="Times New Roman" w:eastAsia="宋体" w:hAnsi="Times New Roman" w:cs="Times New Roman"/>
          <w:kern w:val="0"/>
          <w:sz w:val="24"/>
          <w14:ligatures w14:val="none"/>
        </w:rPr>
        <w:t xml:space="preserve"> ED, Spiegelman BM. PPARgamma : a nuclear regulator of metabolism, differentiation, and cell growth. J Biol Chem. United States; 2001;276:37731–4.</w:t>
      </w:r>
    </w:p>
    <w:p w14:paraId="6F5CB0E1"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16. </w:t>
      </w:r>
      <w:bookmarkStart w:id="30" w:name="OLE_LINK108"/>
      <w:r w:rsidRPr="002E470D">
        <w:rPr>
          <w:rFonts w:ascii="Times New Roman" w:eastAsia="宋体" w:hAnsi="Times New Roman" w:cs="Times New Roman"/>
          <w:kern w:val="0"/>
          <w:sz w:val="24"/>
          <w14:ligatures w14:val="none"/>
        </w:rPr>
        <w:t>Yang Y</w:t>
      </w:r>
      <w:bookmarkEnd w:id="30"/>
      <w:r w:rsidRPr="002E470D">
        <w:rPr>
          <w:rFonts w:ascii="Times New Roman" w:eastAsia="宋体" w:hAnsi="Times New Roman" w:cs="Times New Roman"/>
          <w:kern w:val="0"/>
          <w:sz w:val="24"/>
          <w14:ligatures w14:val="none"/>
        </w:rPr>
        <w:t>, Liu X, Yang D, Li L, Li S, Lu S, et al. Interplay of CD36, autophagy, and lipid metabolism: insights into cancer progression. Metabolism. United States; 2024;155:155905.</w:t>
      </w:r>
    </w:p>
    <w:p w14:paraId="51FAA3A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17. </w:t>
      </w:r>
      <w:bookmarkStart w:id="31" w:name="OLE_LINK82"/>
      <w:r w:rsidRPr="002E470D">
        <w:rPr>
          <w:rFonts w:ascii="Times New Roman" w:eastAsia="宋体" w:hAnsi="Times New Roman" w:cs="Times New Roman"/>
          <w:kern w:val="0"/>
          <w:sz w:val="24"/>
          <w14:ligatures w14:val="none"/>
        </w:rPr>
        <w:t>Feng</w:t>
      </w:r>
      <w:bookmarkEnd w:id="31"/>
      <w:r w:rsidRPr="002E470D">
        <w:rPr>
          <w:rFonts w:ascii="Times New Roman" w:eastAsia="宋体" w:hAnsi="Times New Roman" w:cs="Times New Roman"/>
          <w:kern w:val="0"/>
          <w:sz w:val="24"/>
          <w14:ligatures w14:val="none"/>
        </w:rPr>
        <w:t xml:space="preserve"> WW, Zuppe HT, Kurokawa M. The Role of CD36 in Cancer Progression and Its Value as a Therapeutic Target. Cells. Switzerland; 2023;12.</w:t>
      </w:r>
    </w:p>
    <w:p w14:paraId="1765C1B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18. </w:t>
      </w:r>
      <w:bookmarkStart w:id="32" w:name="OLE_LINK79"/>
      <w:r w:rsidRPr="002E470D">
        <w:rPr>
          <w:rFonts w:ascii="Times New Roman" w:eastAsia="宋体" w:hAnsi="Times New Roman" w:cs="Times New Roman"/>
          <w:kern w:val="0"/>
          <w:sz w:val="24"/>
          <w14:ligatures w14:val="none"/>
        </w:rPr>
        <w:t>Cullen</w:t>
      </w:r>
      <w:bookmarkEnd w:id="32"/>
      <w:r w:rsidRPr="002E470D">
        <w:rPr>
          <w:rFonts w:ascii="Times New Roman" w:eastAsia="宋体" w:hAnsi="Times New Roman" w:cs="Times New Roman"/>
          <w:kern w:val="0"/>
          <w:sz w:val="24"/>
          <w14:ligatures w14:val="none"/>
        </w:rPr>
        <w:t xml:space="preserve"> MM, Lazarides AL, Pittman PD, Flamant EM, Stoeber KL, Stoeber K, et al. Cell-cycle phase progression analysis identifies three unique phenotypes in soft tissue sarcoma. BMC Cancer. England; 2024;24:1288.</w:t>
      </w:r>
    </w:p>
    <w:p w14:paraId="35C6821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19. </w:t>
      </w:r>
      <w:bookmarkStart w:id="33" w:name="OLE_LINK78"/>
      <w:r w:rsidRPr="002E470D">
        <w:rPr>
          <w:rFonts w:ascii="Times New Roman" w:eastAsia="宋体" w:hAnsi="Times New Roman" w:cs="Times New Roman"/>
          <w:kern w:val="0"/>
          <w:sz w:val="24"/>
          <w14:ligatures w14:val="none"/>
        </w:rPr>
        <w:t>Chen</w:t>
      </w:r>
      <w:bookmarkEnd w:id="33"/>
      <w:r w:rsidRPr="002E470D">
        <w:rPr>
          <w:rFonts w:ascii="Times New Roman" w:eastAsia="宋体" w:hAnsi="Times New Roman" w:cs="Times New Roman"/>
          <w:kern w:val="0"/>
          <w:sz w:val="24"/>
          <w14:ligatures w14:val="none"/>
        </w:rPr>
        <w:t xml:space="preserve"> J, Lian Y, Zhao B, Han J, Li X, Wu J, et al. Deciphering the Prognostic and Therapeutic Significance of Cell Cycle Regulator CENPF: A Potential Biomarker of Prognosis and Immune Microenvironment for  Patients with Liposarcoma. Int J Mol Sci. Switzerland; 2023;24.</w:t>
      </w:r>
    </w:p>
    <w:p w14:paraId="1B78C389"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20. </w:t>
      </w:r>
      <w:bookmarkStart w:id="34" w:name="OLE_LINK95"/>
      <w:r w:rsidRPr="002E470D">
        <w:rPr>
          <w:rFonts w:ascii="Times New Roman" w:eastAsia="宋体" w:hAnsi="Times New Roman" w:cs="Times New Roman"/>
          <w:kern w:val="0"/>
          <w:sz w:val="24"/>
          <w14:ligatures w14:val="none"/>
        </w:rPr>
        <w:t>Pimenta</w:t>
      </w:r>
      <w:bookmarkEnd w:id="34"/>
      <w:r w:rsidRPr="002E470D">
        <w:rPr>
          <w:rFonts w:ascii="Times New Roman" w:eastAsia="宋体" w:hAnsi="Times New Roman" w:cs="Times New Roman"/>
          <w:kern w:val="0"/>
          <w:sz w:val="24"/>
          <w14:ligatures w14:val="none"/>
        </w:rPr>
        <w:t xml:space="preserve"> EM, Garza AE, Camp SY, Park J, Hoffman SE, Valderrábano L, et al. Epigenetic dysregulation of metabolic programs mediates liposarcoma cell plasticity. Sci Transl Med. United States; 2026;18:eadw4689.</w:t>
      </w:r>
    </w:p>
    <w:p w14:paraId="02F20DD4"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21. </w:t>
      </w:r>
      <w:bookmarkStart w:id="35" w:name="OLE_LINK88"/>
      <w:r w:rsidRPr="002E470D">
        <w:rPr>
          <w:rFonts w:ascii="Times New Roman" w:eastAsia="宋体" w:hAnsi="Times New Roman" w:cs="Times New Roman"/>
          <w:kern w:val="0"/>
          <w:sz w:val="24"/>
          <w14:ligatures w14:val="none"/>
        </w:rPr>
        <w:t>Han</w:t>
      </w:r>
      <w:bookmarkEnd w:id="35"/>
      <w:r w:rsidRPr="002E470D">
        <w:rPr>
          <w:rFonts w:ascii="Times New Roman" w:eastAsia="宋体" w:hAnsi="Times New Roman" w:cs="Times New Roman"/>
          <w:kern w:val="0"/>
          <w:sz w:val="24"/>
          <w14:ligatures w14:val="none"/>
        </w:rPr>
        <w:t xml:space="preserve"> J, Zhao B, Han X, Sun T, Yue M, Hou M, et al. Comprehensive Analysis of a Six-Gene Signature Predicting Survival and Immune Infiltration of Liposarcoma Patients and Deciphering Its Therapeutic  Significance. Int J Mol Sci. Switzerland; 2024;25.</w:t>
      </w:r>
    </w:p>
    <w:p w14:paraId="1B093431"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22. </w:t>
      </w:r>
      <w:bookmarkStart w:id="36" w:name="OLE_LINK80"/>
      <w:r w:rsidRPr="002E470D">
        <w:rPr>
          <w:rFonts w:ascii="Times New Roman" w:eastAsia="宋体" w:hAnsi="Times New Roman" w:cs="Times New Roman"/>
          <w:kern w:val="0"/>
          <w:sz w:val="24"/>
          <w14:ligatures w14:val="none"/>
        </w:rPr>
        <w:t>Dang</w:t>
      </w:r>
      <w:bookmarkEnd w:id="36"/>
      <w:r w:rsidRPr="002E470D">
        <w:rPr>
          <w:rFonts w:ascii="Times New Roman" w:eastAsia="宋体" w:hAnsi="Times New Roman" w:cs="Times New Roman"/>
          <w:kern w:val="0"/>
          <w:sz w:val="24"/>
          <w14:ligatures w14:val="none"/>
        </w:rPr>
        <w:t xml:space="preserve"> TN, Tiongco RP, Brown LM, Taylor JL, Lyons JM, Lau FH, et al. Expression of the preadipocyte marker ZFP423 is dysregulated between well-differentiated and dedifferentiated liposarcoma. BMC Cancer. England; 2022;22:300.</w:t>
      </w:r>
    </w:p>
    <w:p w14:paraId="4B23FBC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23. Yu M, Yang D, Chen X, Yang Y, Zhang B, Jiang X, et al. Metabolic reprogramming in cancer: dysregulation of glucose, lipid, and amino acid pathways and therapeutic opportunities. Mol Biomed. Singapore; 2026;7.</w:t>
      </w:r>
    </w:p>
    <w:p w14:paraId="3E7F69D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24.</w:t>
      </w:r>
      <w:bookmarkStart w:id="37" w:name="OLE_LINK91"/>
      <w:r w:rsidRPr="002E470D">
        <w:rPr>
          <w:rFonts w:ascii="Times New Roman" w:eastAsia="宋体" w:hAnsi="Times New Roman" w:cs="Times New Roman"/>
          <w:kern w:val="0"/>
          <w:sz w:val="24"/>
          <w14:ligatures w14:val="none"/>
        </w:rPr>
        <w:t>Lee</w:t>
      </w:r>
      <w:bookmarkEnd w:id="37"/>
      <w:r w:rsidRPr="002E470D">
        <w:rPr>
          <w:rFonts w:ascii="Times New Roman" w:eastAsia="宋体" w:hAnsi="Times New Roman" w:cs="Times New Roman"/>
          <w:kern w:val="0"/>
          <w:sz w:val="24"/>
          <w14:ligatures w14:val="none"/>
        </w:rPr>
        <w:t xml:space="preserve"> J, Cheu JW-S, Wong CC-L. The Diverse Roles of Lipid Metabolism Reprogramming in Shaping the Tumor Immune Microenvironment. Cancer Res. United States; 2026;86:834–44.</w:t>
      </w:r>
    </w:p>
    <w:p w14:paraId="390D62A9"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25. </w:t>
      </w:r>
      <w:bookmarkStart w:id="38" w:name="OLE_LINK97"/>
      <w:r w:rsidRPr="002E470D">
        <w:rPr>
          <w:rFonts w:ascii="Times New Roman" w:eastAsia="宋体" w:hAnsi="Times New Roman" w:cs="Times New Roman"/>
          <w:kern w:val="0"/>
          <w:sz w:val="24"/>
          <w14:ligatures w14:val="none"/>
        </w:rPr>
        <w:t>Resag</w:t>
      </w:r>
      <w:bookmarkEnd w:id="38"/>
      <w:r w:rsidRPr="002E470D">
        <w:rPr>
          <w:rFonts w:ascii="Times New Roman" w:eastAsia="宋体" w:hAnsi="Times New Roman" w:cs="Times New Roman"/>
          <w:kern w:val="0"/>
          <w:sz w:val="24"/>
          <w14:ligatures w14:val="none"/>
        </w:rPr>
        <w:t xml:space="preserve"> A, Toffanin G, Benešová I, Müller L, Potkrajcic V, Ozaniak A, et al. The Immune Contexture of Liposarcoma and Its Clinical Implications. Cancers (Basel). Switzerland; 2022;14.</w:t>
      </w:r>
    </w:p>
    <w:p w14:paraId="518EAE4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26. </w:t>
      </w:r>
      <w:bookmarkStart w:id="39" w:name="OLE_LINK81"/>
      <w:r w:rsidRPr="002E470D">
        <w:rPr>
          <w:rFonts w:ascii="Times New Roman" w:eastAsia="宋体" w:hAnsi="Times New Roman" w:cs="Times New Roman"/>
          <w:kern w:val="0"/>
          <w:sz w:val="24"/>
          <w14:ligatures w14:val="none"/>
        </w:rPr>
        <w:t>ENZINGER</w:t>
      </w:r>
      <w:bookmarkEnd w:id="39"/>
      <w:r w:rsidRPr="002E470D">
        <w:rPr>
          <w:rFonts w:ascii="Times New Roman" w:eastAsia="宋体" w:hAnsi="Times New Roman" w:cs="Times New Roman"/>
          <w:kern w:val="0"/>
          <w:sz w:val="24"/>
          <w14:ligatures w14:val="none"/>
        </w:rPr>
        <w:t xml:space="preserve"> FM, WINSLOW DJ. Liposarcoma. A study of 103 cases. Virchows Arch Pathol Anat Physiol Klin Med. Germany; 1962;335:367–88.</w:t>
      </w:r>
    </w:p>
    <w:p w14:paraId="69C0E58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27. </w:t>
      </w:r>
      <w:bookmarkStart w:id="40" w:name="OLE_LINK104"/>
      <w:r w:rsidRPr="002E470D">
        <w:rPr>
          <w:rFonts w:ascii="Times New Roman" w:eastAsia="宋体" w:hAnsi="Times New Roman" w:cs="Times New Roman"/>
          <w:kern w:val="0"/>
          <w:sz w:val="24"/>
          <w14:ligatures w14:val="none"/>
        </w:rPr>
        <w:t>Vasella</w:t>
      </w:r>
      <w:bookmarkEnd w:id="40"/>
      <w:r w:rsidRPr="002E470D">
        <w:rPr>
          <w:rFonts w:ascii="Times New Roman" w:eastAsia="宋体" w:hAnsi="Times New Roman" w:cs="Times New Roman"/>
          <w:kern w:val="0"/>
          <w:sz w:val="24"/>
          <w14:ligatures w14:val="none"/>
        </w:rPr>
        <w:t xml:space="preserve"> M, Gousopoulos E, Guidi M, Storti G, Song SY, Grieb G, et al. Targeted therapies and checkpoint inhibitors in sarcoma. QJM. England; 2022;115:793–805.</w:t>
      </w:r>
    </w:p>
    <w:p w14:paraId="28328965"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28. </w:t>
      </w:r>
      <w:bookmarkStart w:id="41" w:name="OLE_LINK103"/>
      <w:r w:rsidRPr="002E470D">
        <w:rPr>
          <w:rFonts w:ascii="Times New Roman" w:eastAsia="宋体" w:hAnsi="Times New Roman" w:cs="Times New Roman"/>
          <w:kern w:val="0"/>
          <w:sz w:val="24"/>
          <w14:ligatures w14:val="none"/>
        </w:rPr>
        <w:t>Torres</w:t>
      </w:r>
      <w:bookmarkEnd w:id="41"/>
      <w:r w:rsidRPr="002E470D">
        <w:rPr>
          <w:rFonts w:ascii="Times New Roman" w:eastAsia="宋体" w:hAnsi="Times New Roman" w:cs="Times New Roman"/>
          <w:kern w:val="0"/>
          <w:sz w:val="24"/>
          <w14:ligatures w14:val="none"/>
        </w:rPr>
        <w:t xml:space="preserve"> MB, Leung CH, Zoghbi M, Lazcano R, Ingram D, Wani K, et al. Dedifferentiated liposarcomas treated with immune checkpoint blockade: the MD Anderson experience. Front Immunol. Switzerland; 2025;16:1567736.</w:t>
      </w:r>
    </w:p>
    <w:p w14:paraId="35CDAC4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29. </w:t>
      </w:r>
      <w:bookmarkStart w:id="42" w:name="OLE_LINK100"/>
      <w:r w:rsidRPr="002E470D">
        <w:rPr>
          <w:rFonts w:ascii="Times New Roman" w:eastAsia="宋体" w:hAnsi="Times New Roman" w:cs="Times New Roman"/>
          <w:kern w:val="0"/>
          <w:sz w:val="24"/>
          <w14:ligatures w14:val="none"/>
        </w:rPr>
        <w:t xml:space="preserve">Rosenbaum </w:t>
      </w:r>
      <w:bookmarkEnd w:id="42"/>
      <w:r w:rsidRPr="002E470D">
        <w:rPr>
          <w:rFonts w:ascii="Times New Roman" w:eastAsia="宋体" w:hAnsi="Times New Roman" w:cs="Times New Roman"/>
          <w:kern w:val="0"/>
          <w:sz w:val="24"/>
          <w14:ligatures w14:val="none"/>
        </w:rPr>
        <w:t>E, Gularte-Mérida R, Seffar E, Lee J, Adamow M, Bradic M, et al. Tumor and Immune Dynamics Following Sequential CDK4/6 and PD-1 Inhibition: Results from a Phase 2 Study in Dedifferentiated Liposarcoma. Cancer Res Commun. United States; 2026;6:437–46.</w:t>
      </w:r>
    </w:p>
    <w:p w14:paraId="2E55F4C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30. Zhang Y-X, Sicinska E, Czaplinski JT, Remillard SP, Moss S, Wang Y, et al. Antiproliferative effects of CDK4/6 inhibition in CDK4-amplified human liposarcoma in vitro and in vivo. Mol Cancer Ther. United States; 2014;13:2184–93.</w:t>
      </w:r>
    </w:p>
    <w:p w14:paraId="329D6FB5"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31. </w:t>
      </w:r>
      <w:bookmarkStart w:id="43" w:name="OLE_LINK105"/>
      <w:r w:rsidRPr="002E470D">
        <w:rPr>
          <w:rFonts w:ascii="Times New Roman" w:eastAsia="宋体" w:hAnsi="Times New Roman" w:cs="Times New Roman"/>
          <w:kern w:val="0"/>
          <w:sz w:val="24"/>
          <w14:ligatures w14:val="none"/>
        </w:rPr>
        <w:t>Wang</w:t>
      </w:r>
      <w:bookmarkEnd w:id="43"/>
      <w:r w:rsidRPr="002E470D">
        <w:rPr>
          <w:rFonts w:ascii="Times New Roman" w:eastAsia="宋体" w:hAnsi="Times New Roman" w:cs="Times New Roman"/>
          <w:kern w:val="0"/>
          <w:sz w:val="24"/>
          <w14:ligatures w14:val="none"/>
        </w:rPr>
        <w:t xml:space="preserve"> H, Zhou Y, Xu H, Wang X, Zhang Y, Shang R, et al. Therapeutic efficacy of FASN inhibition in preclinical models of HCC. Hepatology. United States; 2022;76:951–66.</w:t>
      </w:r>
    </w:p>
    <w:p w14:paraId="5CD349A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32. </w:t>
      </w:r>
      <w:bookmarkStart w:id="44" w:name="OLE_LINK84"/>
      <w:r w:rsidRPr="002E470D">
        <w:rPr>
          <w:rFonts w:ascii="Times New Roman" w:eastAsia="宋体" w:hAnsi="Times New Roman" w:cs="Times New Roman"/>
          <w:kern w:val="0"/>
          <w:sz w:val="24"/>
          <w14:ligatures w14:val="none"/>
        </w:rPr>
        <w:t>Gleason</w:t>
      </w:r>
      <w:bookmarkEnd w:id="44"/>
      <w:r w:rsidRPr="002E470D">
        <w:rPr>
          <w:rFonts w:ascii="Times New Roman" w:eastAsia="宋体" w:hAnsi="Times New Roman" w:cs="Times New Roman"/>
          <w:kern w:val="0"/>
          <w:sz w:val="24"/>
          <w14:ligatures w14:val="none"/>
        </w:rPr>
        <w:t xml:space="preserve"> CE, Dickson MA, Klein Dooley ME, Antonescu CR, Gularte-Mérida R, Benitez M, et al. Therapy-Induced Senescence Contributes to the Efficacy of Abemaciclib in Patients with Dedifferentiated Liposarcoma. Clin Cancer Res. United States; 2024;30:703–18.</w:t>
      </w:r>
    </w:p>
    <w:p w14:paraId="30BE19F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33. </w:t>
      </w:r>
      <w:bookmarkStart w:id="45" w:name="OLE_LINK86"/>
      <w:r w:rsidRPr="002E470D">
        <w:rPr>
          <w:rFonts w:ascii="Times New Roman" w:eastAsia="宋体" w:hAnsi="Times New Roman" w:cs="Times New Roman"/>
          <w:kern w:val="0"/>
          <w:sz w:val="24"/>
          <w14:ligatures w14:val="none"/>
        </w:rPr>
        <w:t>Graham</w:t>
      </w:r>
      <w:bookmarkEnd w:id="45"/>
      <w:r w:rsidRPr="002E470D">
        <w:rPr>
          <w:rFonts w:ascii="Times New Roman" w:eastAsia="宋体" w:hAnsi="Times New Roman" w:cs="Times New Roman"/>
          <w:kern w:val="0"/>
          <w:sz w:val="24"/>
          <w14:ligatures w14:val="none"/>
        </w:rPr>
        <w:t xml:space="preserve"> DS, Qorbani A, Eckardt MA, Klingbeil KD, Chen LY, Chopra S, et al. Does “Low-Grade” Dedifferentiated Liposarcoma Exist? The Role of Mitotic Index in Separating Dedifferentiated Liposarcoma From Cellular Well-differentiated  Liposarcoma. Am J Surg Pathol. United States; 2023;47:649–60.</w:t>
      </w:r>
    </w:p>
    <w:p w14:paraId="07F5C67C"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34. </w:t>
      </w:r>
      <w:bookmarkStart w:id="46" w:name="OLE_LINK90"/>
      <w:r w:rsidRPr="002E470D">
        <w:rPr>
          <w:rFonts w:ascii="Times New Roman" w:eastAsia="宋体" w:hAnsi="Times New Roman" w:cs="Times New Roman"/>
          <w:kern w:val="0"/>
          <w:sz w:val="24"/>
          <w14:ligatures w14:val="none"/>
        </w:rPr>
        <w:t>Kamble</w:t>
      </w:r>
      <w:bookmarkEnd w:id="46"/>
      <w:r w:rsidRPr="002E470D">
        <w:rPr>
          <w:rFonts w:ascii="Times New Roman" w:eastAsia="宋体" w:hAnsi="Times New Roman" w:cs="Times New Roman"/>
          <w:kern w:val="0"/>
          <w:sz w:val="24"/>
          <w14:ligatures w14:val="none"/>
        </w:rPr>
        <w:t xml:space="preserve"> PG, Hetty S, Vranic M, Almby K, Castillejo-López C, Abalo XM, et al. Proof-of-concept for CRISPR/Cas9 gene editing in human preadipocytes: Deletion of FKBP5 and PPARG and effects on adipocyte differentiation and metabolism. Sci Rep. England; 2020;10:10565.</w:t>
      </w:r>
    </w:p>
    <w:p w14:paraId="7ACC42A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35. </w:t>
      </w:r>
      <w:bookmarkStart w:id="47" w:name="OLE_LINK98"/>
      <w:r w:rsidRPr="002E470D">
        <w:rPr>
          <w:rFonts w:ascii="Times New Roman" w:eastAsia="宋体" w:hAnsi="Times New Roman" w:cs="Times New Roman"/>
          <w:kern w:val="0"/>
          <w:sz w:val="24"/>
          <w14:ligatures w14:val="none"/>
        </w:rPr>
        <w:t>Roland</w:t>
      </w:r>
      <w:bookmarkEnd w:id="47"/>
      <w:r w:rsidRPr="002E470D">
        <w:rPr>
          <w:rFonts w:ascii="Times New Roman" w:eastAsia="宋体" w:hAnsi="Times New Roman" w:cs="Times New Roman"/>
          <w:kern w:val="0"/>
          <w:sz w:val="24"/>
          <w14:ligatures w14:val="none"/>
        </w:rPr>
        <w:t xml:space="preserve"> CL, Nassif Haddad EF, Keung EZ, Wang W-L, Lazar AJ, Lin H, et al. A randomized, non-comparative phase 2 study of neoadjuvant immune-checkpoint blockade in retroperitoneal dedifferentiated liposarcoma and extremity/truncal  undifferentiated pleomorphic sarcoma. Nat Cancer. England; 2024;5:625–41.</w:t>
      </w:r>
    </w:p>
    <w:p w14:paraId="09262F6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36. </w:t>
      </w:r>
      <w:bookmarkStart w:id="48" w:name="OLE_LINK56"/>
      <w:r w:rsidRPr="002E470D">
        <w:rPr>
          <w:rFonts w:ascii="Times New Roman" w:eastAsia="宋体" w:hAnsi="Times New Roman" w:cs="Times New Roman"/>
          <w:kern w:val="0"/>
          <w:sz w:val="24"/>
          <w14:ligatures w14:val="none"/>
        </w:rPr>
        <w:t>Blay J-Y</w:t>
      </w:r>
      <w:bookmarkEnd w:id="48"/>
      <w:r w:rsidRPr="002E470D">
        <w:rPr>
          <w:rFonts w:ascii="Times New Roman" w:eastAsia="宋体" w:hAnsi="Times New Roman" w:cs="Times New Roman"/>
          <w:kern w:val="0"/>
          <w:sz w:val="24"/>
          <w14:ligatures w14:val="none"/>
        </w:rPr>
        <w:t>, Toulmonde M, Valentin T, Firmin N, Watson S, Duffaud F, et al. Clinical presentation, management and outcome of 11,132 patients with liposarcoma patients: a population-based study from the NETSARC+ registry. Lancet Reg Health Eur. England; 2025;57:101403.</w:t>
      </w:r>
    </w:p>
    <w:p w14:paraId="18F54C6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37. </w:t>
      </w:r>
      <w:bookmarkStart w:id="49" w:name="OLE_LINK107"/>
      <w:r w:rsidRPr="002E470D">
        <w:rPr>
          <w:rFonts w:ascii="Times New Roman" w:eastAsia="宋体" w:hAnsi="Times New Roman" w:cs="Times New Roman"/>
          <w:kern w:val="0"/>
          <w:sz w:val="24"/>
          <w14:ligatures w14:val="none"/>
        </w:rPr>
        <w:t>Yang C</w:t>
      </w:r>
      <w:bookmarkEnd w:id="49"/>
      <w:r w:rsidRPr="002E470D">
        <w:rPr>
          <w:rFonts w:ascii="Times New Roman" w:eastAsia="宋体" w:hAnsi="Times New Roman" w:cs="Times New Roman"/>
          <w:kern w:val="0"/>
          <w:sz w:val="24"/>
          <w14:ligatures w14:val="none"/>
        </w:rPr>
        <w:t>, Jin J, Yang Y, Sun H, Wu L, Shen M, et al. Androgen receptor-mediated CD8(+) T cell stemness programs drive sex differences in antitumor immunity. Immunity. United States; 2022;55:1268-1283.e9.</w:t>
      </w:r>
    </w:p>
    <w:p w14:paraId="38B6E782" w14:textId="2BAD398B"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7E8CC622"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0312A38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923162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F4BC179"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F9AD0FB"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BF650E1"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B09F9E6"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72D28A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0216E534"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2E451EB"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E6996DF"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Figure legends</w:t>
      </w:r>
    </w:p>
    <w:p w14:paraId="23CDB238"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53AD394"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1. Study Design and Cohort Characteristics. (A) Patient inclusion and analysis flow chart. (B) Sample distribution across cohorts: GSE21122 (n = 158, 62.5%), TCGA (n = 50, 19.8%), and GSE159659 (n = 45, 17.8%). (C) Histological subtype distribution: DDLPS was the most common (n = 61, 24.1%), followed by WDLPS (n = 50), pleomorphic (n = 20), myxoid (n = 15), and others (n = 23). (D) Age distribution of TCGA patients (median age 61.5 years, range 26–87). (E) Sex distribution: male 66% (n = 33), female 34% (n = 17). (F) Survival status: alive 27 (54%), deceased 23 (46%).</w:t>
      </w:r>
    </w:p>
    <w:p w14:paraId="5CD3A84F"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EECCCD8"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2. Landscape of lipid metabolism. Ridge plot showing lipid scores for each subtype; highest median score was for DDLPS. (B) Ridge plot of scores by cohort to show even-distributed scores. (C) Boxplot of scores for males and females (Wilcoxon test p &lt; 0.05, males are significantly higher than females). Boxplot of scores by death status: the scores of the deceased patients are significantly higher than those of survivors (p &lt; 0.05, Wilcoxon test). (E) Distribution of scores in a histogram (median ~5.2, range 3.9–8.5). (F) Scatter plot of scores and age with no correlation (Spearman R = 0.041, p = 0.78). Representative heatmap of 6 core genes showing separation of the high and low score groups. Waterfall plot (H) shows the continuous spectrum of scores. Color schemes are optimized for color-blind reader.</w:t>
      </w:r>
    </w:p>
    <w:p w14:paraId="1D7B54C3"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90D2AE1" w14:textId="1F6F6B99" w:rsidR="00CE3857"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3. Subgroup survival analyses. (A) All patients (n = 50): high-score patients had significantly worse survival than low-score patients (HR = 2.61, 95% CI: 1.07–6.36, log-rank p = 0.031). (B) Age ≤ 60 years (n = 28): HR = 2.98, 95% CI: 0.90–9.86, p = 0.073. (C) Age &gt; 60 years (n = 22): HR = 2.75, 95% CI: 0.74–10.23, p = 0.130. (D) Female patients (n = 17): HR = 0.62, 95% CI: 0.14–2.75, p = 0.510. (E) Male patients (n = 33): high-score males had significantly worse survival than low-score males (HR = 5.83, 95% CI: 1.55–21.95, log-rank p = 0.008). Independence of this variable was confirmed in the multivariable analysis (adjusted HR 5.61 with p = 0.011).</w:t>
      </w:r>
    </w:p>
    <w:p w14:paraId="7EAF3123"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2F4A2A2"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4. GSEA shows that there are two phenotypes: cell cycle activation and immunosuppression. (A) Volcano plot of the differential expression results: red, upregulated (52 genes); blue, downregulated (5 genes); gray, not significant. (B) A hierarchical clustering heatmap of genes that are significantly different between the different groups of high and low scores. (C–E) Representative GSEA enrichment plots: (C) MITOTIC SPINDLE (NES = 1.64, FDR &lt; 0.05); (D) G2M_CHECKPOINT (NES = 1.58, FDR &lt; 0.05); (E) INTERFERON GAMMA RESPONSE (NES = –1.82, FDR &lt; 0.05). (F) The top 10 pathways that were upregulated in high-score tumors. (G) Forest plot of significant pathways (FDR &lt; 0.05) in which the size of the point indicates –log10(FDR). (H) Top 10 pathways that are down regulated in high score tumors (enriched in low score tumors).</w:t>
      </w:r>
    </w:p>
    <w:p w14:paraId="4E0FD826"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0E40597"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Figure 5. Validation of PPARG/CD36 axis and clinical relevance. PPARG expression by group, compared to patients with low score, PPARG is significantly upregulated in patients with high score (p = 0.004, Wilcoxon test). (B) Significantly increased expression of CD36 in high score patients (p = 0.006, Wilcoxon test). (C) Correlation between PPARG and score: Spearman R = 0.62, p = 1.2 × 10⁻⁶. (D) Correlation between CD36 and score: Spearman R = 0.58, p = 8.4 × 10⁻⁶. (E) Kaplan-Meier curve for PPARG expression: high expression of PPARG was correlated with poorer survival (log-rank p = 0.019). (F) Heatmap for 6 core genes. (G) ROC curve of the combined score of PPARG and CD36: AUC = 0.71. (H) Correlation between PPARG and CD36: Spearman R = 0.58, p &lt; 0.001.</w:t>
      </w:r>
    </w:p>
    <w:p w14:paraId="56B75F40"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5EABFDA" w14:textId="53CDFB95" w:rsidR="00CE3857"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6. Prognostic performance and molecular regulatory network. Time dependent ROC curves at 1, 3 &amp; 5 years. (B) Time-dependent AUC trajectory (0.5–8 years): 1-year AUC = 0.72, 3-year AUC = 0.68, 5-year AUC = 0.65. Random prediction level is shown as a dashed line. (C) Decision curve demonstrating positive net benefit over most thresholds. (D) Grouped expression of four core genes; all were significantly higher in the high score patients (all p &lt; 0.001, Wilcoxon test); FASN (2.8-fold), ACLY (2.3-fold), SCD (2.1-fold) and SREBF1 (1.9-fold). (E) Heatmap of the gene correlation network with strong correlation between FASN and ACLY (R = 0.78) and between FASN and SCD (R = 0.72). (F) Transcription factor activity (DoRothEA): PPARG (Log2FC = 1.19, p = 0.008), E2F1 (Log2FC = 0.50, p = 0.012), and SREBF1 (Log2FC = 0.30, p = 0.026) were significantly activated in high-score tumors. (G) Immune score correlations: none of the six immune cell types showed significant correlation (FDR &gt; 0.05).</w:t>
      </w:r>
    </w:p>
    <w:p w14:paraId="09CECC04"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D756EC6"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7D277A0B"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E81E936"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8DCA825"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42B39B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9528DCE"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F16EDA1"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DA71281"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D7DB09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9ED310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B7ECA03"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A18A13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7DEDA9C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2197E9C0"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BEF414A"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4A8AC39"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5E3AF3E"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AC6C1A1"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C1E76AC" w14:textId="77777777" w:rsidR="007C213B" w:rsidRPr="002E470D" w:rsidRDefault="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8EEEFF9"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50" w:name="OLE_LINK61"/>
      <w:r w:rsidRPr="002E470D">
        <w:rPr>
          <w:rFonts w:ascii="Times New Roman" w:eastAsia="宋体" w:hAnsi="Times New Roman" w:cs="Times New Roman"/>
          <w:b/>
          <w:bCs/>
          <w:kern w:val="0"/>
          <w:sz w:val="24"/>
          <w14:ligatures w14:val="none"/>
        </w:rPr>
        <w:lastRenderedPageBreak/>
        <w:t>Supplementary figure legends</w:t>
      </w:r>
    </w:p>
    <w:p w14:paraId="4178EA31"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6BD1F42"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S1. Volcano plot of the differential expression with GSEA barcodes. Volcano plot of the genes that were up or down regulated in the high vs low score groups. Red: upregulated (n = 52); blue: downregulated (n = 5); gray: not significant. Thresholds: |log2FC| &gt; 1, adjusted p &lt; 0.05. Bottom barcodes display GSEA enrichment distribution of Hallmark pathways along the ranked gene list.</w:t>
      </w:r>
    </w:p>
    <w:p w14:paraId="30650F6E"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00DAA61"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S2. Other clinical connections and GSEA data. (A) Score versus tumor size: no correlation (Spearman R = 0.12, p = 0.45). (B) FNCLCC grade score: No significant difference (Kruskal – Wallis p = 0.38). (C) Pathway network: red, upregulation; blue, downregulation. The overlap similarity is indicated by the edge thickness. The forest plot of the top 20 pathways ranked by |NES|. Ridge plots of enrichment scores of pathways that were upregulated (E) and downregulated (F).</w:t>
      </w:r>
    </w:p>
    <w:p w14:paraId="174E26A7"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2C2D9F39"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S3. Immune infiltration and drug sensitivity. (A) No obvious distinction between each group in heatmap of immune infiltration scores per patient. All boxplots show no significant differences (FDR &gt; 0.05; Wilcoxon test) in immune scores between groups. Drug sensitivity predictions: (C) high-score sensitive: FASN inhibitors, SCD inhibitors, CDK4/6 inhibitors (FC &gt;1.3, p&lt;0.05); low-score sensitive: immune checkpoint inhibitors (FC&lt;0.77, p&lt;0.05). D) Gene correlation network heatmap (supplement to Fig. 6E) of the complete correlation matrix of the six core genes.</w:t>
      </w:r>
    </w:p>
    <w:p w14:paraId="6D421D47"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C6A2940"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S4. Kaplan–Meier survival curves of the TCGA cohort, separated by lipid score. Patients with high score (red) showed significantly poorer overall survival compared with patients with low score (blue) (log-rank p = 0.031). The risk table shows the number at risk at each time point.</w:t>
      </w:r>
    </w:p>
    <w:p w14:paraId="2FBD4ADA"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BED556E"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S5. Nomogram for prediction of 1-, 3- and 5-year survival. The nomogram includes age, FNCLCC grade and lipid score. Each variable is assigned a point and the total score is the sum of all the points, which translates to 1, 3 and 5 year survival probability.</w:t>
      </w:r>
    </w:p>
    <w:p w14:paraId="2AF31456"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A5FE3A2"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S6. Calibration curves of the nomogram. Calibration plots for 1-, 3- and 5-year survival. The predicted and observed survival are in agreement with the bootstrap corrected curves (B = 200). The diagonal dashed line is the perfect calibration line.</w:t>
      </w:r>
    </w:p>
    <w:p w14:paraId="5BACA720"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AF7BC7F" w14:textId="09945856" w:rsidR="007C213B"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S7. Distribution of lipid scores by subtype in independent cohorts. Scores were significantly higher in dedifferentiated liposarcoma (DDLPS) compared to well-differentiated liposarcoma (WDLPS) and normal adipose tissue (pairwise p-values as indicated) in cohort (A) GSE159659 (n = 45). (B) GSE21122 cohort (n = 158): significant differences between sarcoma sub types (DDLPS, LMS, MF, MRC, PL and normal adipose). The Overall ANOVA p-value is shown.</w:t>
      </w:r>
    </w:p>
    <w:p w14:paraId="40E36392" w14:textId="77777777" w:rsidR="0019261A" w:rsidRPr="002E470D" w:rsidRDefault="0019261A"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32CE373" w14:textId="77777777" w:rsidR="0019261A" w:rsidRPr="0019261A" w:rsidRDefault="0019261A"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19261A">
        <w:rPr>
          <w:rFonts w:ascii="Times New Roman" w:eastAsia="宋体" w:hAnsi="Times New Roman" w:cs="Times New Roman"/>
          <w:b/>
          <w:bCs/>
          <w:kern w:val="0"/>
          <w:sz w:val="24"/>
          <w14:ligatures w14:val="none"/>
        </w:rPr>
        <w:lastRenderedPageBreak/>
        <w:t>Tables</w:t>
      </w:r>
    </w:p>
    <w:p w14:paraId="6C1E5518" w14:textId="77777777" w:rsidR="0019261A" w:rsidRPr="0019261A" w:rsidRDefault="0019261A"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90E74F8" w14:textId="05F0CFA1" w:rsidR="007C213B" w:rsidRDefault="0019261A"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19261A">
        <w:rPr>
          <w:rFonts w:ascii="Times New Roman" w:eastAsia="宋体" w:hAnsi="Times New Roman" w:cs="Times New Roman"/>
          <w:b/>
          <w:bCs/>
          <w:kern w:val="0"/>
          <w:sz w:val="24"/>
          <w14:ligatures w14:val="none"/>
        </w:rPr>
        <w:t>Table 1: Key resources</w:t>
      </w:r>
    </w:p>
    <w:tbl>
      <w:tblPr>
        <w:tblW w:w="4859" w:type="pct"/>
        <w:tblBorders>
          <w:top w:val="single" w:sz="12" w:space="0" w:color="993333"/>
          <w:bottom w:val="single" w:sz="12" w:space="0" w:color="993333"/>
        </w:tblBorders>
        <w:tblLayout w:type="fixed"/>
        <w:tblCellMar>
          <w:top w:w="15" w:type="dxa"/>
          <w:left w:w="15" w:type="dxa"/>
          <w:bottom w:w="15" w:type="dxa"/>
          <w:right w:w="15" w:type="dxa"/>
        </w:tblCellMar>
        <w:tblLook w:val="04A0" w:firstRow="1" w:lastRow="0" w:firstColumn="1" w:lastColumn="0" w:noHBand="0" w:noVBand="1"/>
      </w:tblPr>
      <w:tblGrid>
        <w:gridCol w:w="2436"/>
        <w:gridCol w:w="1558"/>
        <w:gridCol w:w="4078"/>
      </w:tblGrid>
      <w:tr w:rsidR="00AF61A9" w14:paraId="217CBA13" w14:textId="77777777" w:rsidTr="00AF61A9">
        <w:trPr>
          <w:tblHeader/>
        </w:trPr>
        <w:tc>
          <w:tcPr>
            <w:tcW w:w="1509" w:type="pct"/>
            <w:tcBorders>
              <w:bottom w:val="single" w:sz="6" w:space="0" w:color="993333"/>
            </w:tcBorders>
            <w:shd w:val="clear" w:color="auto" w:fill="F2E9E9"/>
            <w:tcMar>
              <w:top w:w="90" w:type="dxa"/>
              <w:left w:w="120" w:type="dxa"/>
              <w:bottom w:w="90" w:type="dxa"/>
              <w:right w:w="120" w:type="dxa"/>
            </w:tcMar>
          </w:tcPr>
          <w:p w14:paraId="2D1D4B74" w14:textId="198CD3CE"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 xml:space="preserve">Reagent or Resource </w:t>
            </w:r>
          </w:p>
        </w:tc>
        <w:tc>
          <w:tcPr>
            <w:tcW w:w="965" w:type="pct"/>
            <w:tcBorders>
              <w:bottom w:val="single" w:sz="6" w:space="0" w:color="993333"/>
            </w:tcBorders>
            <w:shd w:val="clear" w:color="auto" w:fill="F2E9E9"/>
            <w:tcMar>
              <w:top w:w="90" w:type="dxa"/>
              <w:left w:w="120" w:type="dxa"/>
              <w:bottom w:w="90" w:type="dxa"/>
              <w:right w:w="120" w:type="dxa"/>
            </w:tcMar>
          </w:tcPr>
          <w:p w14:paraId="57E47B94" w14:textId="69445D74"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Source</w:t>
            </w:r>
          </w:p>
        </w:tc>
        <w:tc>
          <w:tcPr>
            <w:tcW w:w="2526" w:type="pct"/>
            <w:tcBorders>
              <w:bottom w:val="single" w:sz="6" w:space="0" w:color="993333"/>
            </w:tcBorders>
            <w:shd w:val="clear" w:color="auto" w:fill="F2E9E9"/>
            <w:tcMar>
              <w:top w:w="90" w:type="dxa"/>
              <w:left w:w="120" w:type="dxa"/>
              <w:bottom w:w="90" w:type="dxa"/>
              <w:right w:w="120" w:type="dxa"/>
            </w:tcMar>
          </w:tcPr>
          <w:p w14:paraId="7365BFD1" w14:textId="755F962E"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Identifier</w:t>
            </w:r>
          </w:p>
        </w:tc>
      </w:tr>
      <w:tr w:rsidR="00AF61A9" w14:paraId="69414D70" w14:textId="77777777" w:rsidTr="00AF5BA1">
        <w:tc>
          <w:tcPr>
            <w:tcW w:w="5000" w:type="pct"/>
            <w:gridSpan w:val="3"/>
            <w:shd w:val="clear" w:color="auto" w:fill="F2E9E9"/>
            <w:tcMar>
              <w:top w:w="90" w:type="dxa"/>
              <w:left w:w="120" w:type="dxa"/>
              <w:bottom w:w="90" w:type="dxa"/>
              <w:right w:w="120" w:type="dxa"/>
            </w:tcMar>
          </w:tcPr>
          <w:p w14:paraId="48FB3C33" w14:textId="618DAEF5" w:rsidR="00AF61A9" w:rsidRDefault="00AF61A9"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AF61A9">
              <w:rPr>
                <w:rFonts w:ascii="Times New Roman" w:eastAsia="宋体" w:hAnsi="Times New Roman" w:cs="Times New Roman"/>
                <w:b/>
                <w:bCs/>
                <w:color w:val="993333"/>
                <w:kern w:val="0"/>
                <w:sz w:val="24"/>
                <w14:ligatures w14:val="none"/>
              </w:rPr>
              <w:t>Antibodies</w:t>
            </w:r>
          </w:p>
        </w:tc>
      </w:tr>
      <w:tr w:rsidR="0062175E" w14:paraId="2E105592" w14:textId="77777777" w:rsidTr="00AF61A9">
        <w:tc>
          <w:tcPr>
            <w:tcW w:w="1509" w:type="pct"/>
            <w:shd w:val="clear" w:color="auto" w:fill="F5F5F5"/>
            <w:tcMar>
              <w:top w:w="75" w:type="dxa"/>
              <w:left w:w="120" w:type="dxa"/>
              <w:bottom w:w="75" w:type="dxa"/>
              <w:right w:w="120" w:type="dxa"/>
            </w:tcMar>
          </w:tcPr>
          <w:p w14:paraId="0944A486" w14:textId="7E8A365C"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No one in this study used this</w:t>
            </w:r>
          </w:p>
        </w:tc>
        <w:tc>
          <w:tcPr>
            <w:tcW w:w="965" w:type="pct"/>
            <w:shd w:val="clear" w:color="auto" w:fill="F5F5F5"/>
            <w:tcMar>
              <w:top w:w="75" w:type="dxa"/>
              <w:left w:w="120" w:type="dxa"/>
              <w:bottom w:w="75" w:type="dxa"/>
              <w:right w:w="120" w:type="dxa"/>
            </w:tcMar>
          </w:tcPr>
          <w:p w14:paraId="29684C33" w14:textId="18E4FBCF"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N/A</w:t>
            </w:r>
          </w:p>
        </w:tc>
        <w:tc>
          <w:tcPr>
            <w:tcW w:w="2526" w:type="pct"/>
            <w:shd w:val="clear" w:color="auto" w:fill="F5F5F5"/>
            <w:tcMar>
              <w:top w:w="75" w:type="dxa"/>
              <w:left w:w="120" w:type="dxa"/>
              <w:bottom w:w="75" w:type="dxa"/>
              <w:right w:w="120" w:type="dxa"/>
            </w:tcMar>
          </w:tcPr>
          <w:p w14:paraId="213FF7C0" w14:textId="553FCBB8"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N/A</w:t>
            </w:r>
          </w:p>
        </w:tc>
      </w:tr>
      <w:tr w:rsidR="00AF61A9" w14:paraId="40C871C2" w14:textId="77777777" w:rsidTr="00AF5BA1">
        <w:tc>
          <w:tcPr>
            <w:tcW w:w="5000" w:type="pct"/>
            <w:gridSpan w:val="3"/>
            <w:shd w:val="clear" w:color="auto" w:fill="F2E9E9"/>
            <w:tcMar>
              <w:top w:w="90" w:type="dxa"/>
              <w:left w:w="120" w:type="dxa"/>
              <w:bottom w:w="90" w:type="dxa"/>
              <w:right w:w="120" w:type="dxa"/>
            </w:tcMar>
          </w:tcPr>
          <w:p w14:paraId="43AF8D31" w14:textId="72E86889" w:rsidR="00AF61A9" w:rsidRDefault="0062175E"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eastAsia="宋体" w:hAnsi="Times New Roman" w:cs="Times New Roman"/>
                <w:b/>
                <w:bCs/>
                <w:color w:val="993333"/>
                <w:kern w:val="0"/>
                <w:sz w:val="24"/>
                <w14:ligatures w14:val="none"/>
              </w:rPr>
              <w:t>Biological samples</w:t>
            </w:r>
          </w:p>
        </w:tc>
      </w:tr>
      <w:tr w:rsidR="001D5981" w14:paraId="230B46A5" w14:textId="77777777" w:rsidTr="00AF61A9">
        <w:tc>
          <w:tcPr>
            <w:tcW w:w="1509" w:type="pct"/>
            <w:shd w:val="clear" w:color="auto" w:fill="F5F5F5"/>
            <w:tcMar>
              <w:top w:w="75" w:type="dxa"/>
              <w:left w:w="120" w:type="dxa"/>
              <w:bottom w:w="75" w:type="dxa"/>
              <w:right w:w="120" w:type="dxa"/>
            </w:tcMar>
          </w:tcPr>
          <w:p w14:paraId="64C0FAF6" w14:textId="573C65FB"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TCGA DDLPS RNA seq data (n=50)</w:t>
            </w:r>
          </w:p>
        </w:tc>
        <w:tc>
          <w:tcPr>
            <w:tcW w:w="965" w:type="pct"/>
            <w:shd w:val="clear" w:color="auto" w:fill="F5F5F5"/>
            <w:tcMar>
              <w:top w:w="75" w:type="dxa"/>
              <w:left w:w="120" w:type="dxa"/>
              <w:bottom w:w="75" w:type="dxa"/>
              <w:right w:w="120" w:type="dxa"/>
            </w:tcMar>
          </w:tcPr>
          <w:p w14:paraId="5A68A740" w14:textId="6C08E8D4"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The Cancer Genome Atlas (TCGA)</w:t>
            </w:r>
          </w:p>
        </w:tc>
        <w:tc>
          <w:tcPr>
            <w:tcW w:w="2526" w:type="pct"/>
            <w:shd w:val="clear" w:color="auto" w:fill="F5F5F5"/>
            <w:tcMar>
              <w:top w:w="75" w:type="dxa"/>
              <w:left w:w="120" w:type="dxa"/>
              <w:bottom w:w="75" w:type="dxa"/>
              <w:right w:w="120" w:type="dxa"/>
            </w:tcMar>
          </w:tcPr>
          <w:p w14:paraId="7BE53410" w14:textId="1D1977E3"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https://portal.gdc.cancer.gov/</w:t>
            </w:r>
          </w:p>
        </w:tc>
      </w:tr>
      <w:tr w:rsidR="00AF61A9" w14:paraId="462633C4" w14:textId="77777777" w:rsidTr="00AF61A9">
        <w:tc>
          <w:tcPr>
            <w:tcW w:w="1509" w:type="pct"/>
            <w:shd w:val="clear" w:color="auto" w:fill="FFFFFF"/>
            <w:tcMar>
              <w:top w:w="75" w:type="dxa"/>
              <w:left w:w="120" w:type="dxa"/>
              <w:bottom w:w="75" w:type="dxa"/>
              <w:right w:w="120" w:type="dxa"/>
            </w:tcMar>
          </w:tcPr>
          <w:p w14:paraId="02A1F319" w14:textId="7777777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 expression data (n=158)</w:t>
            </w:r>
          </w:p>
        </w:tc>
        <w:tc>
          <w:tcPr>
            <w:tcW w:w="965" w:type="pct"/>
            <w:shd w:val="clear" w:color="auto" w:fill="FFFFFF"/>
            <w:tcMar>
              <w:top w:w="75" w:type="dxa"/>
              <w:left w:w="120" w:type="dxa"/>
              <w:bottom w:w="75" w:type="dxa"/>
              <w:right w:w="120" w:type="dxa"/>
            </w:tcMar>
          </w:tcPr>
          <w:p w14:paraId="19F7C0AE" w14:textId="7777777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Gene Expression Omnibus (GEO)</w:t>
            </w:r>
          </w:p>
        </w:tc>
        <w:tc>
          <w:tcPr>
            <w:tcW w:w="2526" w:type="pct"/>
            <w:shd w:val="clear" w:color="auto" w:fill="FFFFFF"/>
            <w:tcMar>
              <w:top w:w="75" w:type="dxa"/>
              <w:left w:w="120" w:type="dxa"/>
              <w:bottom w:w="75" w:type="dxa"/>
              <w:right w:w="120" w:type="dxa"/>
            </w:tcMar>
          </w:tcPr>
          <w:p w14:paraId="50A78856" w14:textId="7777777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 https://www.ncbi.nlm.nih.gov/geo/query/acc.cgi?acc=GSE21122</w:t>
            </w:r>
          </w:p>
        </w:tc>
      </w:tr>
      <w:tr w:rsidR="001D5981" w14:paraId="76A8EC2A" w14:textId="77777777" w:rsidTr="00AF61A9">
        <w:tc>
          <w:tcPr>
            <w:tcW w:w="1509" w:type="pct"/>
            <w:shd w:val="clear" w:color="auto" w:fill="F5F5F5"/>
            <w:tcMar>
              <w:top w:w="75" w:type="dxa"/>
              <w:left w:w="120" w:type="dxa"/>
              <w:bottom w:w="75" w:type="dxa"/>
              <w:right w:w="120" w:type="dxa"/>
            </w:tcMar>
          </w:tcPr>
          <w:p w14:paraId="429CCEF4" w14:textId="02CA8CB3"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GSE159659 expression data (n=45)</w:t>
            </w:r>
          </w:p>
        </w:tc>
        <w:tc>
          <w:tcPr>
            <w:tcW w:w="965" w:type="pct"/>
            <w:shd w:val="clear" w:color="auto" w:fill="F5F5F5"/>
            <w:tcMar>
              <w:top w:w="75" w:type="dxa"/>
              <w:left w:w="120" w:type="dxa"/>
              <w:bottom w:w="75" w:type="dxa"/>
              <w:right w:w="120" w:type="dxa"/>
            </w:tcMar>
          </w:tcPr>
          <w:p w14:paraId="14BC3DEF" w14:textId="0414686E"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Gene Expression Omnibus (GEO)</w:t>
            </w:r>
          </w:p>
        </w:tc>
        <w:tc>
          <w:tcPr>
            <w:tcW w:w="2526" w:type="pct"/>
            <w:shd w:val="clear" w:color="auto" w:fill="F5F5F5"/>
            <w:tcMar>
              <w:top w:w="75" w:type="dxa"/>
              <w:left w:w="120" w:type="dxa"/>
              <w:bottom w:w="75" w:type="dxa"/>
              <w:right w:w="120" w:type="dxa"/>
            </w:tcMar>
          </w:tcPr>
          <w:p w14:paraId="14A0C4C1" w14:textId="274E4C0D"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GSE159659; https://www.ncbi.nlm.nih.gov/geo/query/acc.cgi?acc=GSE159659</w:t>
            </w:r>
          </w:p>
        </w:tc>
      </w:tr>
      <w:tr w:rsidR="001D5981" w14:paraId="2E4B92CA" w14:textId="77777777" w:rsidTr="00AF61A9">
        <w:tc>
          <w:tcPr>
            <w:tcW w:w="1509" w:type="pct"/>
            <w:shd w:val="clear" w:color="auto" w:fill="FFFFFF"/>
            <w:tcMar>
              <w:top w:w="75" w:type="dxa"/>
              <w:left w:w="120" w:type="dxa"/>
              <w:bottom w:w="75" w:type="dxa"/>
              <w:right w:w="120" w:type="dxa"/>
            </w:tcMar>
          </w:tcPr>
          <w:p w14:paraId="4978EF1C" w14:textId="7C161F62"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TCGA clinical data</w:t>
            </w:r>
          </w:p>
        </w:tc>
        <w:tc>
          <w:tcPr>
            <w:tcW w:w="965" w:type="pct"/>
            <w:shd w:val="clear" w:color="auto" w:fill="FFFFFF"/>
            <w:tcMar>
              <w:top w:w="75" w:type="dxa"/>
              <w:left w:w="120" w:type="dxa"/>
              <w:bottom w:w="75" w:type="dxa"/>
              <w:right w:w="120" w:type="dxa"/>
            </w:tcMar>
          </w:tcPr>
          <w:p w14:paraId="3F79D5B8" w14:textId="73982FF5"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The Cancer Genome Atlas (TCGA)</w:t>
            </w:r>
          </w:p>
        </w:tc>
        <w:tc>
          <w:tcPr>
            <w:tcW w:w="2526" w:type="pct"/>
            <w:shd w:val="clear" w:color="auto" w:fill="FFFFFF"/>
            <w:tcMar>
              <w:top w:w="75" w:type="dxa"/>
              <w:left w:w="120" w:type="dxa"/>
              <w:bottom w:w="75" w:type="dxa"/>
              <w:right w:w="120" w:type="dxa"/>
            </w:tcMar>
          </w:tcPr>
          <w:p w14:paraId="0F85DA0D" w14:textId="77777777" w:rsidR="001D5981" w:rsidRDefault="001D5981" w:rsidP="001D5981">
            <w:pPr>
              <w:keepLines/>
              <w:widowControl/>
              <w:suppressAutoHyphens/>
              <w:kinsoku w:val="0"/>
              <w:spacing w:after="150" w:line="240" w:lineRule="auto"/>
              <w:jc w:val="both"/>
              <w:rPr>
                <w:rFonts w:hint="eastAsia"/>
              </w:rPr>
            </w:pPr>
            <w:r w:rsidRPr="00360AB4">
              <w:rPr>
                <w:rFonts w:hint="eastAsia"/>
              </w:rPr>
              <w:t>TCGA SARC;</w:t>
            </w:r>
          </w:p>
          <w:p w14:paraId="4008D7CC" w14:textId="4459EB18"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https://portal.gdc.cancer.gov/</w:t>
            </w:r>
          </w:p>
        </w:tc>
      </w:tr>
      <w:tr w:rsidR="00AF61A9" w14:paraId="6F854364" w14:textId="77777777" w:rsidTr="00AF5BA1">
        <w:tc>
          <w:tcPr>
            <w:tcW w:w="5000" w:type="pct"/>
            <w:gridSpan w:val="3"/>
            <w:shd w:val="clear" w:color="auto" w:fill="F2E9E9"/>
            <w:tcMar>
              <w:top w:w="90" w:type="dxa"/>
              <w:left w:w="120" w:type="dxa"/>
              <w:bottom w:w="90" w:type="dxa"/>
              <w:right w:w="120" w:type="dxa"/>
            </w:tcMar>
          </w:tcPr>
          <w:p w14:paraId="244B1585" w14:textId="7AFDF4BD" w:rsidR="00AF61A9" w:rsidRDefault="001D5981"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1D5981">
              <w:rPr>
                <w:rFonts w:ascii="Times New Roman" w:eastAsia="宋体" w:hAnsi="Times New Roman" w:cs="Times New Roman"/>
                <w:b/>
                <w:bCs/>
                <w:color w:val="993333"/>
                <w:kern w:val="0"/>
                <w:sz w:val="24"/>
                <w14:ligatures w14:val="none"/>
              </w:rPr>
              <w:t>Critical commercial assays</w:t>
            </w:r>
          </w:p>
        </w:tc>
      </w:tr>
      <w:tr w:rsidR="00817F17" w14:paraId="0D751218" w14:textId="77777777" w:rsidTr="008E4477">
        <w:tc>
          <w:tcPr>
            <w:tcW w:w="1509" w:type="pct"/>
            <w:shd w:val="clear" w:color="auto" w:fill="F5F5F5"/>
            <w:tcMar>
              <w:top w:w="75" w:type="dxa"/>
              <w:left w:w="120" w:type="dxa"/>
              <w:bottom w:w="75" w:type="dxa"/>
              <w:right w:w="120" w:type="dxa"/>
            </w:tcMar>
          </w:tcPr>
          <w:p w14:paraId="3F6B9397" w14:textId="6829C2CE" w:rsidR="00817F17" w:rsidRPr="00AA0162"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Not applicable for none used in this study (retrospective analysis of public data).</w:t>
            </w:r>
          </w:p>
        </w:tc>
        <w:tc>
          <w:tcPr>
            <w:tcW w:w="965" w:type="pct"/>
            <w:shd w:val="clear" w:color="auto" w:fill="F5F5F5"/>
            <w:tcMar>
              <w:top w:w="75" w:type="dxa"/>
              <w:left w:w="120" w:type="dxa"/>
              <w:bottom w:w="75" w:type="dxa"/>
              <w:right w:w="120" w:type="dxa"/>
            </w:tcMar>
          </w:tcPr>
          <w:p w14:paraId="1D09CF90" w14:textId="5254311B" w:rsidR="00817F17" w:rsidRPr="002E470D" w:rsidRDefault="00817F17" w:rsidP="00817F17">
            <w:pPr>
              <w:keepLines/>
              <w:widowControl/>
              <w:suppressAutoHyphens/>
              <w:kinsoku w:val="0"/>
              <w:spacing w:after="15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N/A</w:t>
            </w:r>
          </w:p>
        </w:tc>
        <w:tc>
          <w:tcPr>
            <w:tcW w:w="2526" w:type="pct"/>
            <w:shd w:val="clear" w:color="auto" w:fill="F5F5F5"/>
            <w:tcMar>
              <w:top w:w="75" w:type="dxa"/>
              <w:left w:w="120" w:type="dxa"/>
              <w:bottom w:w="75" w:type="dxa"/>
              <w:right w:w="120" w:type="dxa"/>
            </w:tcMar>
          </w:tcPr>
          <w:p w14:paraId="1C6C9AA3" w14:textId="5A246B0B" w:rsidR="00817F17" w:rsidRPr="002E470D" w:rsidRDefault="00817F17" w:rsidP="00817F17">
            <w:pPr>
              <w:keepLines/>
              <w:widowControl/>
              <w:suppressAutoHyphens/>
              <w:kinsoku w:val="0"/>
              <w:spacing w:after="15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N/A</w:t>
            </w:r>
          </w:p>
        </w:tc>
      </w:tr>
      <w:tr w:rsidR="00817F17" w14:paraId="337A2E0B" w14:textId="77777777" w:rsidTr="00AF5BA1">
        <w:tc>
          <w:tcPr>
            <w:tcW w:w="5000" w:type="pct"/>
            <w:gridSpan w:val="3"/>
            <w:shd w:val="clear" w:color="auto" w:fill="F2E9E9"/>
            <w:tcMar>
              <w:top w:w="90" w:type="dxa"/>
              <w:left w:w="120" w:type="dxa"/>
              <w:bottom w:w="90" w:type="dxa"/>
              <w:right w:w="120" w:type="dxa"/>
            </w:tcMar>
          </w:tcPr>
          <w:p w14:paraId="338C9699" w14:textId="79BF2254"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1D5981">
              <w:rPr>
                <w:rFonts w:ascii="Times New Roman" w:eastAsia="宋体" w:hAnsi="Times New Roman" w:cs="Times New Roman"/>
                <w:b/>
                <w:bCs/>
                <w:color w:val="993333"/>
                <w:kern w:val="0"/>
                <w:sz w:val="24"/>
                <w14:ligatures w14:val="none"/>
              </w:rPr>
              <w:t>Deposited data</w:t>
            </w:r>
          </w:p>
        </w:tc>
      </w:tr>
      <w:tr w:rsidR="00817F17" w14:paraId="4891D49D" w14:textId="77777777" w:rsidTr="00D57439">
        <w:tc>
          <w:tcPr>
            <w:tcW w:w="1509" w:type="pct"/>
            <w:tcMar>
              <w:top w:w="75" w:type="dxa"/>
              <w:left w:w="120" w:type="dxa"/>
              <w:bottom w:w="75" w:type="dxa"/>
              <w:right w:w="120" w:type="dxa"/>
            </w:tcMar>
          </w:tcPr>
          <w:p w14:paraId="71453A41" w14:textId="44397548" w:rsidR="00817F17" w:rsidRPr="00F24FCE"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Differentially expressed genes (high score vs low score)</w:t>
            </w:r>
          </w:p>
        </w:tc>
        <w:tc>
          <w:tcPr>
            <w:tcW w:w="965" w:type="pct"/>
            <w:tcMar>
              <w:top w:w="75" w:type="dxa"/>
              <w:left w:w="120" w:type="dxa"/>
              <w:bottom w:w="75" w:type="dxa"/>
              <w:right w:w="120" w:type="dxa"/>
            </w:tcMar>
          </w:tcPr>
          <w:p w14:paraId="07D8BCCA" w14:textId="3C341AA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E470D">
              <w:rPr>
                <w:rFonts w:ascii="Times New Roman" w:eastAsia="宋体" w:hAnsi="Times New Roman" w:cs="Times New Roman"/>
                <w:kern w:val="0"/>
                <w:sz w:val="24"/>
                <w14:ligatures w14:val="none"/>
              </w:rPr>
              <w:t>This study</w:t>
            </w:r>
          </w:p>
        </w:tc>
        <w:tc>
          <w:tcPr>
            <w:tcW w:w="2526" w:type="pct"/>
            <w:tcMar>
              <w:top w:w="75" w:type="dxa"/>
              <w:left w:w="120" w:type="dxa"/>
              <w:bottom w:w="75" w:type="dxa"/>
              <w:right w:w="120" w:type="dxa"/>
            </w:tcMar>
          </w:tcPr>
          <w:p w14:paraId="20CF3786" w14:textId="381AC3F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E470D">
              <w:rPr>
                <w:rFonts w:ascii="Times New Roman" w:eastAsia="宋体" w:hAnsi="Times New Roman" w:cs="Times New Roman"/>
                <w:kern w:val="0"/>
                <w:sz w:val="24"/>
                <w14:ligatures w14:val="none"/>
              </w:rPr>
              <w:t>Table S1 (52 upregulated, 5 downregulated genes)</w:t>
            </w:r>
          </w:p>
        </w:tc>
      </w:tr>
      <w:tr w:rsidR="00817F17" w14:paraId="463DBF54" w14:textId="77777777" w:rsidTr="00072B7C">
        <w:tc>
          <w:tcPr>
            <w:tcW w:w="1509" w:type="pct"/>
            <w:tcBorders>
              <w:bottom w:val="nil"/>
            </w:tcBorders>
            <w:shd w:val="clear" w:color="auto" w:fill="F5F5F5"/>
            <w:tcMar>
              <w:top w:w="75" w:type="dxa"/>
              <w:left w:w="120" w:type="dxa"/>
              <w:bottom w:w="75" w:type="dxa"/>
              <w:right w:w="120" w:type="dxa"/>
            </w:tcMar>
          </w:tcPr>
          <w:p w14:paraId="486BB391" w14:textId="77777777" w:rsidR="00817F17"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lastRenderedPageBreak/>
              <w:t xml:space="preserve">The six core lipid metabolism genes: </w:t>
            </w:r>
          </w:p>
          <w:p w14:paraId="1D966913" w14:textId="31CAB41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
        </w:tc>
        <w:tc>
          <w:tcPr>
            <w:tcW w:w="965" w:type="pct"/>
            <w:tcBorders>
              <w:bottom w:val="nil"/>
            </w:tcBorders>
            <w:shd w:val="clear" w:color="auto" w:fill="F5F5F5"/>
            <w:tcMar>
              <w:top w:w="75" w:type="dxa"/>
              <w:left w:w="120" w:type="dxa"/>
              <w:bottom w:w="75" w:type="dxa"/>
              <w:right w:w="120" w:type="dxa"/>
            </w:tcMar>
          </w:tcPr>
          <w:p w14:paraId="2E49AFCE" w14:textId="05256B3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 xml:space="preserve">This study </w:t>
            </w:r>
          </w:p>
        </w:tc>
        <w:tc>
          <w:tcPr>
            <w:tcW w:w="2526" w:type="pct"/>
            <w:tcBorders>
              <w:bottom w:val="nil"/>
            </w:tcBorders>
            <w:shd w:val="clear" w:color="auto" w:fill="F5F5F5"/>
            <w:tcMar>
              <w:top w:w="75" w:type="dxa"/>
              <w:left w:w="120" w:type="dxa"/>
              <w:bottom w:w="75" w:type="dxa"/>
              <w:right w:w="120" w:type="dxa"/>
            </w:tcMar>
          </w:tcPr>
          <w:p w14:paraId="5BEA4AA0" w14:textId="0DA9212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(Table S2).FASN, ACLY, SCD, SREBF1, HMGCR, PPARG are studied in</w:t>
            </w:r>
          </w:p>
        </w:tc>
      </w:tr>
      <w:tr w:rsidR="00817F17" w14:paraId="6BD5678C" w14:textId="77777777" w:rsidTr="00072B7C">
        <w:tc>
          <w:tcPr>
            <w:tcW w:w="1509" w:type="pct"/>
            <w:tcBorders>
              <w:top w:val="nil"/>
              <w:left w:val="nil"/>
              <w:bottom w:val="nil"/>
              <w:right w:val="nil"/>
            </w:tcBorders>
            <w:tcMar>
              <w:top w:w="75" w:type="dxa"/>
              <w:left w:w="120" w:type="dxa"/>
              <w:bottom w:w="75" w:type="dxa"/>
              <w:right w:w="120" w:type="dxa"/>
            </w:tcMar>
          </w:tcPr>
          <w:p w14:paraId="49E1E63C" w14:textId="6E618F0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Significantly enriched Hallmark pathways</w:t>
            </w:r>
          </w:p>
        </w:tc>
        <w:tc>
          <w:tcPr>
            <w:tcW w:w="965" w:type="pct"/>
            <w:tcBorders>
              <w:top w:val="nil"/>
              <w:left w:val="nil"/>
              <w:bottom w:val="nil"/>
              <w:right w:val="nil"/>
            </w:tcBorders>
            <w:tcMar>
              <w:top w:w="75" w:type="dxa"/>
              <w:left w:w="120" w:type="dxa"/>
              <w:bottom w:w="75" w:type="dxa"/>
              <w:right w:w="120" w:type="dxa"/>
            </w:tcMar>
          </w:tcPr>
          <w:p w14:paraId="7A4A7B23" w14:textId="5A99257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This study</w:t>
            </w:r>
          </w:p>
        </w:tc>
        <w:tc>
          <w:tcPr>
            <w:tcW w:w="2526" w:type="pct"/>
            <w:tcBorders>
              <w:top w:val="nil"/>
              <w:left w:val="nil"/>
              <w:bottom w:val="nil"/>
              <w:right w:val="nil"/>
            </w:tcBorders>
            <w:tcMar>
              <w:top w:w="75" w:type="dxa"/>
              <w:left w:w="120" w:type="dxa"/>
              <w:bottom w:w="75" w:type="dxa"/>
              <w:right w:w="120" w:type="dxa"/>
            </w:tcMar>
          </w:tcPr>
          <w:p w14:paraId="1662EAC6" w14:textId="7E3AB84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Table S3 (36 pathways, FDR &lt; 0.05)</w:t>
            </w:r>
          </w:p>
        </w:tc>
      </w:tr>
      <w:tr w:rsidR="00817F17" w14:paraId="444188BC" w14:textId="77777777" w:rsidTr="00072B7C">
        <w:tc>
          <w:tcPr>
            <w:tcW w:w="1509" w:type="pct"/>
            <w:tcBorders>
              <w:top w:val="nil"/>
            </w:tcBorders>
            <w:shd w:val="clear" w:color="auto" w:fill="F5F5F5"/>
            <w:tcMar>
              <w:top w:w="75" w:type="dxa"/>
              <w:left w:w="120" w:type="dxa"/>
              <w:bottom w:w="75" w:type="dxa"/>
              <w:right w:w="120" w:type="dxa"/>
            </w:tcMar>
          </w:tcPr>
          <w:p w14:paraId="74F259D8" w14:textId="4850256F"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Immune cell marker genes</w:t>
            </w:r>
          </w:p>
        </w:tc>
        <w:tc>
          <w:tcPr>
            <w:tcW w:w="965" w:type="pct"/>
            <w:tcBorders>
              <w:top w:val="nil"/>
            </w:tcBorders>
            <w:shd w:val="clear" w:color="auto" w:fill="F5F5F5"/>
            <w:tcMar>
              <w:top w:w="75" w:type="dxa"/>
              <w:left w:w="120" w:type="dxa"/>
              <w:bottom w:w="75" w:type="dxa"/>
              <w:right w:w="120" w:type="dxa"/>
            </w:tcMar>
          </w:tcPr>
          <w:p w14:paraId="106DBA91" w14:textId="62584DF7"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This study</w:t>
            </w:r>
          </w:p>
        </w:tc>
        <w:tc>
          <w:tcPr>
            <w:tcW w:w="2526" w:type="pct"/>
            <w:tcBorders>
              <w:top w:val="nil"/>
            </w:tcBorders>
            <w:shd w:val="clear" w:color="auto" w:fill="F5F5F5"/>
            <w:tcMar>
              <w:top w:w="75" w:type="dxa"/>
              <w:left w:w="120" w:type="dxa"/>
              <w:bottom w:w="75" w:type="dxa"/>
              <w:right w:w="120" w:type="dxa"/>
            </w:tcMar>
          </w:tcPr>
          <w:p w14:paraId="5C9B1355" w14:textId="41BF283B"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Table S4 (CD8+ T cells, CD4+ T cells, Tregs, B cells, NK cells, macrophages)</w:t>
            </w:r>
          </w:p>
        </w:tc>
      </w:tr>
      <w:tr w:rsidR="00817F17" w14:paraId="7DC7E844" w14:textId="77777777" w:rsidTr="00AF5BA1">
        <w:tc>
          <w:tcPr>
            <w:tcW w:w="5000" w:type="pct"/>
            <w:gridSpan w:val="3"/>
            <w:shd w:val="clear" w:color="auto" w:fill="F2E9E9"/>
            <w:tcMar>
              <w:top w:w="90" w:type="dxa"/>
              <w:left w:w="120" w:type="dxa"/>
              <w:bottom w:w="90" w:type="dxa"/>
              <w:right w:w="120" w:type="dxa"/>
            </w:tcMar>
          </w:tcPr>
          <w:p w14:paraId="21275A82" w14:textId="13A6E2A9"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76076C">
              <w:rPr>
                <w:rFonts w:ascii="Times New Roman" w:eastAsia="宋体" w:hAnsi="Times New Roman" w:cs="Times New Roman"/>
                <w:b/>
                <w:bCs/>
                <w:color w:val="993333"/>
                <w:kern w:val="0"/>
                <w:sz w:val="24"/>
                <w14:ligatures w14:val="none"/>
              </w:rPr>
              <w:t>Software and algorithms</w:t>
            </w:r>
          </w:p>
        </w:tc>
      </w:tr>
      <w:tr w:rsidR="00817F17" w14:paraId="18296FAF" w14:textId="77777777" w:rsidTr="00AF61A9">
        <w:tc>
          <w:tcPr>
            <w:tcW w:w="1509" w:type="pct"/>
            <w:shd w:val="clear" w:color="auto" w:fill="F5F5F5"/>
            <w:tcMar>
              <w:top w:w="75" w:type="dxa"/>
              <w:left w:w="120" w:type="dxa"/>
              <w:bottom w:w="75" w:type="dxa"/>
              <w:right w:w="120" w:type="dxa"/>
            </w:tcMar>
          </w:tcPr>
          <w:p w14:paraId="79267DFF" w14:textId="5CB3E39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R Statistical Software v4.6.0</w:t>
            </w:r>
          </w:p>
        </w:tc>
        <w:tc>
          <w:tcPr>
            <w:tcW w:w="965" w:type="pct"/>
            <w:shd w:val="clear" w:color="auto" w:fill="F5F5F5"/>
            <w:tcMar>
              <w:top w:w="75" w:type="dxa"/>
              <w:left w:w="120" w:type="dxa"/>
              <w:bottom w:w="75" w:type="dxa"/>
              <w:right w:w="120" w:type="dxa"/>
            </w:tcMar>
          </w:tcPr>
          <w:p w14:paraId="54BCA53C" w14:textId="60A51AD6"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R Core Team</w:t>
            </w:r>
          </w:p>
        </w:tc>
        <w:tc>
          <w:tcPr>
            <w:tcW w:w="2526" w:type="pct"/>
            <w:shd w:val="clear" w:color="auto" w:fill="F5F5F5"/>
            <w:tcMar>
              <w:top w:w="75" w:type="dxa"/>
              <w:left w:w="120" w:type="dxa"/>
              <w:bottom w:w="75" w:type="dxa"/>
              <w:right w:w="120" w:type="dxa"/>
            </w:tcMar>
          </w:tcPr>
          <w:p w14:paraId="7A8D234E" w14:textId="77777777" w:rsidR="00817F17" w:rsidRPr="000453C8" w:rsidRDefault="00817F17" w:rsidP="00817F17">
            <w:pPr>
              <w:keepLines/>
              <w:widowControl/>
              <w:suppressAutoHyphens/>
              <w:kinsoku w:val="0"/>
              <w:spacing w:after="150" w:line="240" w:lineRule="auto"/>
              <w:jc w:val="both"/>
              <w:rPr>
                <w:rFonts w:ascii="Times New Roman" w:hAnsi="Times New Roman" w:cs="Times New Roman"/>
                <w:sz w:val="24"/>
              </w:rPr>
            </w:pPr>
            <w:r w:rsidRPr="000453C8">
              <w:rPr>
                <w:rFonts w:ascii="Times New Roman" w:hAnsi="Times New Roman" w:cs="Times New Roman"/>
                <w:sz w:val="24"/>
              </w:rPr>
              <w:t xml:space="preserve">RRID:SCR_001905; </w:t>
            </w:r>
          </w:p>
          <w:p w14:paraId="641BC38A" w14:textId="5C24603E"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https://www.r project.org/</w:t>
            </w:r>
          </w:p>
        </w:tc>
      </w:tr>
      <w:tr w:rsidR="00817F17" w14:paraId="790CA244" w14:textId="77777777" w:rsidTr="00AF61A9">
        <w:tc>
          <w:tcPr>
            <w:tcW w:w="1509" w:type="pct"/>
            <w:shd w:val="clear" w:color="auto" w:fill="FFFFFF"/>
            <w:tcMar>
              <w:top w:w="75" w:type="dxa"/>
              <w:left w:w="120" w:type="dxa"/>
              <w:bottom w:w="75" w:type="dxa"/>
              <w:right w:w="120" w:type="dxa"/>
            </w:tcMar>
          </w:tcPr>
          <w:p w14:paraId="08AE4B4B" w14:textId="2C5B7CB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limma v3.56.2</w:t>
            </w:r>
          </w:p>
        </w:tc>
        <w:tc>
          <w:tcPr>
            <w:tcW w:w="965" w:type="pct"/>
            <w:shd w:val="clear" w:color="auto" w:fill="FFFFFF"/>
            <w:tcMar>
              <w:top w:w="75" w:type="dxa"/>
              <w:left w:w="120" w:type="dxa"/>
              <w:bottom w:w="75" w:type="dxa"/>
              <w:right w:w="120" w:type="dxa"/>
            </w:tcMar>
          </w:tcPr>
          <w:p w14:paraId="218B30FF" w14:textId="034ED5D1"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Bioconductor</w:t>
            </w:r>
          </w:p>
        </w:tc>
        <w:tc>
          <w:tcPr>
            <w:tcW w:w="2526" w:type="pct"/>
            <w:shd w:val="clear" w:color="auto" w:fill="FFFFFF"/>
            <w:tcMar>
              <w:top w:w="75" w:type="dxa"/>
              <w:left w:w="120" w:type="dxa"/>
              <w:bottom w:w="75" w:type="dxa"/>
              <w:right w:w="120" w:type="dxa"/>
            </w:tcMar>
          </w:tcPr>
          <w:p w14:paraId="73E37BAD" w14:textId="384F227E"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https://bioconductor.org/packages/limma/</w:t>
            </w:r>
          </w:p>
        </w:tc>
      </w:tr>
      <w:tr w:rsidR="00817F17" w14:paraId="6190AE1A" w14:textId="77777777" w:rsidTr="00AF61A9">
        <w:tc>
          <w:tcPr>
            <w:tcW w:w="1509" w:type="pct"/>
            <w:shd w:val="clear" w:color="auto" w:fill="F5F5F5"/>
            <w:tcMar>
              <w:top w:w="75" w:type="dxa"/>
              <w:left w:w="120" w:type="dxa"/>
              <w:bottom w:w="75" w:type="dxa"/>
              <w:right w:w="120" w:type="dxa"/>
            </w:tcMar>
          </w:tcPr>
          <w:p w14:paraId="74BA05CF" w14:textId="0C725A6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clusterProfiler</w:t>
            </w:r>
          </w:p>
        </w:tc>
        <w:tc>
          <w:tcPr>
            <w:tcW w:w="965" w:type="pct"/>
            <w:shd w:val="clear" w:color="auto" w:fill="F5F5F5"/>
            <w:tcMar>
              <w:top w:w="75" w:type="dxa"/>
              <w:left w:w="120" w:type="dxa"/>
              <w:bottom w:w="75" w:type="dxa"/>
              <w:right w:w="120" w:type="dxa"/>
            </w:tcMar>
          </w:tcPr>
          <w:p w14:paraId="1F7DC0D3" w14:textId="25E029D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Bioconductor</w:t>
            </w:r>
          </w:p>
        </w:tc>
        <w:tc>
          <w:tcPr>
            <w:tcW w:w="2526" w:type="pct"/>
            <w:shd w:val="clear" w:color="auto" w:fill="F5F5F5"/>
            <w:tcMar>
              <w:top w:w="75" w:type="dxa"/>
              <w:left w:w="120" w:type="dxa"/>
              <w:bottom w:w="75" w:type="dxa"/>
              <w:right w:w="120" w:type="dxa"/>
            </w:tcMar>
          </w:tcPr>
          <w:p w14:paraId="365B2469" w14:textId="789E6A29"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https://bioconductor.org/packages/clusterProfiler/</w:t>
            </w:r>
          </w:p>
        </w:tc>
      </w:tr>
      <w:tr w:rsidR="00817F17" w14:paraId="45E1BEBA" w14:textId="77777777" w:rsidTr="00AF61A9">
        <w:tc>
          <w:tcPr>
            <w:tcW w:w="1509" w:type="pct"/>
            <w:shd w:val="clear" w:color="auto" w:fill="FFFFFF"/>
            <w:tcMar>
              <w:top w:w="75" w:type="dxa"/>
              <w:left w:w="120" w:type="dxa"/>
              <w:bottom w:w="75" w:type="dxa"/>
              <w:right w:w="120" w:type="dxa"/>
            </w:tcMar>
          </w:tcPr>
          <w:p w14:paraId="0674131C" w14:textId="7946296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survival v3.5 5</w:t>
            </w:r>
          </w:p>
        </w:tc>
        <w:tc>
          <w:tcPr>
            <w:tcW w:w="965" w:type="pct"/>
            <w:shd w:val="clear" w:color="auto" w:fill="FFFFFF"/>
            <w:tcMar>
              <w:top w:w="75" w:type="dxa"/>
              <w:left w:w="120" w:type="dxa"/>
              <w:bottom w:w="75" w:type="dxa"/>
              <w:right w:w="120" w:type="dxa"/>
            </w:tcMar>
          </w:tcPr>
          <w:p w14:paraId="2E0DCFB9" w14:textId="15F00D68"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CRAN</w:t>
            </w:r>
          </w:p>
        </w:tc>
        <w:tc>
          <w:tcPr>
            <w:tcW w:w="2526" w:type="pct"/>
            <w:shd w:val="clear" w:color="auto" w:fill="FFFFFF"/>
            <w:tcMar>
              <w:top w:w="75" w:type="dxa"/>
              <w:left w:w="120" w:type="dxa"/>
              <w:bottom w:w="75" w:type="dxa"/>
              <w:right w:w="120" w:type="dxa"/>
            </w:tcMar>
          </w:tcPr>
          <w:p w14:paraId="62E6A8AC" w14:textId="499D2873"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https://cran.r project.org/package=survival</w:t>
            </w:r>
          </w:p>
        </w:tc>
      </w:tr>
      <w:tr w:rsidR="00817F17" w14:paraId="3203B92D" w14:textId="77777777" w:rsidTr="00AF61A9">
        <w:tc>
          <w:tcPr>
            <w:tcW w:w="1509" w:type="pct"/>
            <w:shd w:val="clear" w:color="auto" w:fill="F5F5F5"/>
            <w:tcMar>
              <w:top w:w="75" w:type="dxa"/>
              <w:left w:w="120" w:type="dxa"/>
              <w:bottom w:w="75" w:type="dxa"/>
              <w:right w:w="120" w:type="dxa"/>
            </w:tcMar>
          </w:tcPr>
          <w:p w14:paraId="005EC329" w14:textId="6EE1A97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survminer v0.4.9</w:t>
            </w:r>
          </w:p>
        </w:tc>
        <w:tc>
          <w:tcPr>
            <w:tcW w:w="965" w:type="pct"/>
            <w:shd w:val="clear" w:color="auto" w:fill="F5F5F5"/>
            <w:tcMar>
              <w:top w:w="75" w:type="dxa"/>
              <w:left w:w="120" w:type="dxa"/>
              <w:bottom w:w="75" w:type="dxa"/>
              <w:right w:w="120" w:type="dxa"/>
            </w:tcMar>
          </w:tcPr>
          <w:p w14:paraId="4E71AA59" w14:textId="0A01E91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CRAN</w:t>
            </w:r>
          </w:p>
        </w:tc>
        <w:tc>
          <w:tcPr>
            <w:tcW w:w="2526" w:type="pct"/>
            <w:shd w:val="clear" w:color="auto" w:fill="F5F5F5"/>
            <w:tcMar>
              <w:top w:w="75" w:type="dxa"/>
              <w:left w:w="120" w:type="dxa"/>
              <w:bottom w:w="75" w:type="dxa"/>
              <w:right w:w="120" w:type="dxa"/>
            </w:tcMar>
          </w:tcPr>
          <w:p w14:paraId="79A109D9" w14:textId="1AA8FDF4"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https://cran.r project.org/package=survminer</w:t>
            </w:r>
          </w:p>
        </w:tc>
      </w:tr>
      <w:tr w:rsidR="00817F17" w14:paraId="4C91356D" w14:textId="77777777" w:rsidTr="00AF61A9">
        <w:tc>
          <w:tcPr>
            <w:tcW w:w="1509" w:type="pct"/>
            <w:shd w:val="clear" w:color="auto" w:fill="FFFFFF"/>
            <w:tcMar>
              <w:top w:w="75" w:type="dxa"/>
              <w:left w:w="120" w:type="dxa"/>
              <w:bottom w:w="75" w:type="dxa"/>
              <w:right w:w="120" w:type="dxa"/>
            </w:tcMar>
          </w:tcPr>
          <w:p w14:paraId="53E3CA30" w14:textId="54ABD0B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timeROC</w:t>
            </w:r>
          </w:p>
        </w:tc>
        <w:tc>
          <w:tcPr>
            <w:tcW w:w="965" w:type="pct"/>
            <w:shd w:val="clear" w:color="auto" w:fill="FFFFFF"/>
            <w:tcMar>
              <w:top w:w="75" w:type="dxa"/>
              <w:left w:w="120" w:type="dxa"/>
              <w:bottom w:w="75" w:type="dxa"/>
              <w:right w:w="120" w:type="dxa"/>
            </w:tcMar>
          </w:tcPr>
          <w:p w14:paraId="64D08148" w14:textId="5769D8E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CRAN</w:t>
            </w:r>
          </w:p>
        </w:tc>
        <w:tc>
          <w:tcPr>
            <w:tcW w:w="2526" w:type="pct"/>
            <w:shd w:val="clear" w:color="auto" w:fill="FFFFFF"/>
            <w:tcMar>
              <w:top w:w="75" w:type="dxa"/>
              <w:left w:w="120" w:type="dxa"/>
              <w:bottom w:w="75" w:type="dxa"/>
              <w:right w:w="120" w:type="dxa"/>
            </w:tcMar>
          </w:tcPr>
          <w:p w14:paraId="2DFC8BF0" w14:textId="0227A7E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https://cran.r project.org/package=timeROC</w:t>
            </w:r>
          </w:p>
        </w:tc>
      </w:tr>
      <w:tr w:rsidR="00817F17" w14:paraId="15848D2A" w14:textId="77777777" w:rsidTr="00AF61A9">
        <w:tc>
          <w:tcPr>
            <w:tcW w:w="1509" w:type="pct"/>
            <w:shd w:val="clear" w:color="auto" w:fill="F5F5F5"/>
            <w:tcMar>
              <w:top w:w="75" w:type="dxa"/>
              <w:left w:w="120" w:type="dxa"/>
              <w:bottom w:w="75" w:type="dxa"/>
              <w:right w:w="120" w:type="dxa"/>
            </w:tcMar>
          </w:tcPr>
          <w:p w14:paraId="79BB7C1F" w14:textId="0E2AC231"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DoRothEA</w:t>
            </w:r>
          </w:p>
        </w:tc>
        <w:tc>
          <w:tcPr>
            <w:tcW w:w="965" w:type="pct"/>
            <w:shd w:val="clear" w:color="auto" w:fill="F5F5F5"/>
            <w:tcMar>
              <w:top w:w="75" w:type="dxa"/>
              <w:left w:w="120" w:type="dxa"/>
              <w:bottom w:w="75" w:type="dxa"/>
              <w:right w:w="120" w:type="dxa"/>
            </w:tcMar>
          </w:tcPr>
          <w:p w14:paraId="2895B630" w14:textId="4EA968D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Bioconductor</w:t>
            </w:r>
          </w:p>
        </w:tc>
        <w:tc>
          <w:tcPr>
            <w:tcW w:w="2526" w:type="pct"/>
            <w:shd w:val="clear" w:color="auto" w:fill="F5F5F5"/>
            <w:tcMar>
              <w:top w:w="75" w:type="dxa"/>
              <w:left w:w="120" w:type="dxa"/>
              <w:bottom w:w="75" w:type="dxa"/>
              <w:right w:w="120" w:type="dxa"/>
            </w:tcMar>
          </w:tcPr>
          <w:p w14:paraId="127B0BE8" w14:textId="7D51B2F4"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https://bioconductor.org/packages/DoRothEA/</w:t>
            </w:r>
          </w:p>
        </w:tc>
      </w:tr>
      <w:tr w:rsidR="00817F17" w14:paraId="245CDC6A" w14:textId="77777777" w:rsidTr="00AF61A9">
        <w:tc>
          <w:tcPr>
            <w:tcW w:w="1509" w:type="pct"/>
            <w:shd w:val="clear" w:color="auto" w:fill="FFFFFF"/>
            <w:tcMar>
              <w:top w:w="75" w:type="dxa"/>
              <w:left w:w="120" w:type="dxa"/>
              <w:bottom w:w="75" w:type="dxa"/>
              <w:right w:w="120" w:type="dxa"/>
            </w:tcMar>
          </w:tcPr>
          <w:p w14:paraId="19283B7C" w14:textId="705913B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ggplot2 v3.5.0</w:t>
            </w:r>
          </w:p>
        </w:tc>
        <w:tc>
          <w:tcPr>
            <w:tcW w:w="965" w:type="pct"/>
            <w:shd w:val="clear" w:color="auto" w:fill="FFFFFF"/>
            <w:tcMar>
              <w:top w:w="75" w:type="dxa"/>
              <w:left w:w="120" w:type="dxa"/>
              <w:bottom w:w="75" w:type="dxa"/>
              <w:right w:w="120" w:type="dxa"/>
            </w:tcMar>
          </w:tcPr>
          <w:p w14:paraId="377EB281" w14:textId="6AF03B7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CRAN</w:t>
            </w:r>
          </w:p>
        </w:tc>
        <w:tc>
          <w:tcPr>
            <w:tcW w:w="2526" w:type="pct"/>
            <w:shd w:val="clear" w:color="auto" w:fill="FFFFFF"/>
            <w:tcMar>
              <w:top w:w="75" w:type="dxa"/>
              <w:left w:w="120" w:type="dxa"/>
              <w:bottom w:w="75" w:type="dxa"/>
              <w:right w:w="120" w:type="dxa"/>
            </w:tcMar>
          </w:tcPr>
          <w:p w14:paraId="1292CA05" w14:textId="73E4221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https://cran.r project.org/package=ggplot2</w:t>
            </w:r>
          </w:p>
        </w:tc>
      </w:tr>
      <w:tr w:rsidR="00817F17" w14:paraId="767F8A0E" w14:textId="77777777" w:rsidTr="00AF61A9">
        <w:tc>
          <w:tcPr>
            <w:tcW w:w="1509" w:type="pct"/>
            <w:shd w:val="clear" w:color="auto" w:fill="F5F5F5"/>
            <w:tcMar>
              <w:top w:w="75" w:type="dxa"/>
              <w:left w:w="120" w:type="dxa"/>
              <w:bottom w:w="75" w:type="dxa"/>
              <w:right w:w="120" w:type="dxa"/>
            </w:tcMar>
          </w:tcPr>
          <w:p w14:paraId="198083A2" w14:textId="2A212AF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ggtree v4.2.0</w:t>
            </w:r>
          </w:p>
        </w:tc>
        <w:tc>
          <w:tcPr>
            <w:tcW w:w="965" w:type="pct"/>
            <w:shd w:val="clear" w:color="auto" w:fill="F5F5F5"/>
            <w:tcMar>
              <w:top w:w="75" w:type="dxa"/>
              <w:left w:w="120" w:type="dxa"/>
              <w:bottom w:w="75" w:type="dxa"/>
              <w:right w:w="120" w:type="dxa"/>
            </w:tcMar>
          </w:tcPr>
          <w:p w14:paraId="7246AF5F" w14:textId="062AD133"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Bioconductor</w:t>
            </w:r>
          </w:p>
        </w:tc>
        <w:tc>
          <w:tcPr>
            <w:tcW w:w="2526" w:type="pct"/>
            <w:shd w:val="clear" w:color="auto" w:fill="F5F5F5"/>
            <w:tcMar>
              <w:top w:w="75" w:type="dxa"/>
              <w:left w:w="120" w:type="dxa"/>
              <w:bottom w:w="75" w:type="dxa"/>
              <w:right w:w="120" w:type="dxa"/>
            </w:tcMar>
          </w:tcPr>
          <w:p w14:paraId="1CC2C155" w14:textId="077D269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https://bioconductor.org/packages/ggtree</w:t>
            </w:r>
          </w:p>
        </w:tc>
      </w:tr>
      <w:tr w:rsidR="00817F17" w14:paraId="4A1E2289" w14:textId="77777777" w:rsidTr="00AF61A9">
        <w:tc>
          <w:tcPr>
            <w:tcW w:w="1509" w:type="pct"/>
            <w:shd w:val="clear" w:color="auto" w:fill="FFFFFF"/>
            <w:tcMar>
              <w:top w:w="75" w:type="dxa"/>
              <w:left w:w="120" w:type="dxa"/>
              <w:bottom w:w="75" w:type="dxa"/>
              <w:right w:w="120" w:type="dxa"/>
            </w:tcMar>
          </w:tcPr>
          <w:p w14:paraId="15E0336C" w14:textId="27600EE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lastRenderedPageBreak/>
              <w:t>ggtreeExtra v1.22.1</w:t>
            </w:r>
          </w:p>
        </w:tc>
        <w:tc>
          <w:tcPr>
            <w:tcW w:w="965" w:type="pct"/>
            <w:shd w:val="clear" w:color="auto" w:fill="FFFFFF"/>
            <w:tcMar>
              <w:top w:w="75" w:type="dxa"/>
              <w:left w:w="120" w:type="dxa"/>
              <w:bottom w:w="75" w:type="dxa"/>
              <w:right w:w="120" w:type="dxa"/>
            </w:tcMar>
          </w:tcPr>
          <w:p w14:paraId="55218548" w14:textId="237F985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t>Bioconductor</w:t>
            </w:r>
          </w:p>
        </w:tc>
        <w:tc>
          <w:tcPr>
            <w:tcW w:w="2526" w:type="pct"/>
            <w:shd w:val="clear" w:color="auto" w:fill="FFFFFF"/>
            <w:tcMar>
              <w:top w:w="75" w:type="dxa"/>
              <w:left w:w="120" w:type="dxa"/>
              <w:bottom w:w="75" w:type="dxa"/>
              <w:right w:w="120" w:type="dxa"/>
            </w:tcMar>
          </w:tcPr>
          <w:p w14:paraId="02030D34" w14:textId="015ADDE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t>https://bioconductor.org/packages/ggtreeExtra</w:t>
            </w:r>
          </w:p>
        </w:tc>
      </w:tr>
      <w:tr w:rsidR="00817F17" w14:paraId="41CD7BC2" w14:textId="77777777" w:rsidTr="00AF61A9">
        <w:tc>
          <w:tcPr>
            <w:tcW w:w="1509" w:type="pct"/>
            <w:shd w:val="clear" w:color="auto" w:fill="F5F5F5"/>
            <w:tcMar>
              <w:top w:w="75" w:type="dxa"/>
              <w:left w:w="120" w:type="dxa"/>
              <w:bottom w:w="75" w:type="dxa"/>
              <w:right w:w="120" w:type="dxa"/>
            </w:tcMar>
          </w:tcPr>
          <w:p w14:paraId="011FC6C8" w14:textId="2BE6850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MSigDB Hallmark gene sets v7.4</w:t>
            </w:r>
          </w:p>
        </w:tc>
        <w:tc>
          <w:tcPr>
            <w:tcW w:w="965" w:type="pct"/>
            <w:shd w:val="clear" w:color="auto" w:fill="F5F5F5"/>
            <w:tcMar>
              <w:top w:w="75" w:type="dxa"/>
              <w:left w:w="120" w:type="dxa"/>
              <w:bottom w:w="75" w:type="dxa"/>
              <w:right w:w="120" w:type="dxa"/>
            </w:tcMar>
          </w:tcPr>
          <w:p w14:paraId="3B198514" w14:textId="6985CB3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Molecular Signatures Database</w:t>
            </w:r>
          </w:p>
        </w:tc>
        <w:tc>
          <w:tcPr>
            <w:tcW w:w="2526" w:type="pct"/>
            <w:shd w:val="clear" w:color="auto" w:fill="F5F5F5"/>
            <w:tcMar>
              <w:top w:w="75" w:type="dxa"/>
              <w:left w:w="120" w:type="dxa"/>
              <w:bottom w:w="75" w:type="dxa"/>
              <w:right w:w="120" w:type="dxa"/>
            </w:tcMar>
          </w:tcPr>
          <w:p w14:paraId="5D13205D" w14:textId="2847F83B"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https://www.gsea-msigdb.org/gsea/msigdb/</w:t>
            </w:r>
          </w:p>
        </w:tc>
      </w:tr>
      <w:tr w:rsidR="00817F17" w14:paraId="4692989F" w14:textId="77777777" w:rsidTr="00AF61A9">
        <w:tc>
          <w:tcPr>
            <w:tcW w:w="1509" w:type="pct"/>
            <w:shd w:val="clear" w:color="auto" w:fill="FFFFFF" w:themeFill="background1"/>
            <w:tcMar>
              <w:top w:w="75" w:type="dxa"/>
              <w:left w:w="120" w:type="dxa"/>
              <w:bottom w:w="75" w:type="dxa"/>
              <w:right w:w="120" w:type="dxa"/>
            </w:tcMar>
          </w:tcPr>
          <w:p w14:paraId="03119181" w14:textId="51F2B52E"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Custom analysis code</w:t>
            </w:r>
            <w:r w:rsidRPr="00B13A3A">
              <w:rPr>
                <w:rFonts w:ascii="Times New Roman" w:eastAsia="宋体" w:hAnsi="Times New Roman" w:cs="Times New Roman"/>
                <w:color w:val="333333"/>
                <w:kern w:val="0"/>
                <w:sz w:val="24"/>
                <w14:ligatures w14:val="none"/>
              </w:rPr>
              <w:tab/>
            </w:r>
          </w:p>
        </w:tc>
        <w:tc>
          <w:tcPr>
            <w:tcW w:w="965" w:type="pct"/>
            <w:shd w:val="clear" w:color="auto" w:fill="FFFFFF" w:themeFill="background1"/>
            <w:tcMar>
              <w:top w:w="75" w:type="dxa"/>
              <w:left w:w="120" w:type="dxa"/>
              <w:bottom w:w="75" w:type="dxa"/>
              <w:right w:w="120" w:type="dxa"/>
            </w:tcMar>
          </w:tcPr>
          <w:p w14:paraId="5407B50A" w14:textId="3277757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This study</w:t>
            </w:r>
          </w:p>
        </w:tc>
        <w:tc>
          <w:tcPr>
            <w:tcW w:w="2526" w:type="pct"/>
            <w:shd w:val="clear" w:color="auto" w:fill="FFFFFF" w:themeFill="background1"/>
            <w:tcMar>
              <w:top w:w="75" w:type="dxa"/>
              <w:left w:w="120" w:type="dxa"/>
              <w:bottom w:w="75" w:type="dxa"/>
              <w:right w:w="120" w:type="dxa"/>
            </w:tcMar>
          </w:tcPr>
          <w:p w14:paraId="46B91CCC" w14:textId="68E2DD0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https://github.com/wqxrmyy/LipidScore_DDLPS</w:t>
            </w:r>
          </w:p>
        </w:tc>
      </w:tr>
      <w:tr w:rsidR="00817F17" w14:paraId="76E2FAAE" w14:textId="77777777" w:rsidTr="00AF5BA1">
        <w:tc>
          <w:tcPr>
            <w:tcW w:w="5000" w:type="pct"/>
            <w:gridSpan w:val="3"/>
            <w:shd w:val="clear" w:color="auto" w:fill="F2E9E9"/>
            <w:tcMar>
              <w:top w:w="90" w:type="dxa"/>
              <w:left w:w="120" w:type="dxa"/>
              <w:bottom w:w="90" w:type="dxa"/>
              <w:right w:w="120" w:type="dxa"/>
            </w:tcMar>
          </w:tcPr>
          <w:p w14:paraId="00F5F5CA" w14:textId="21B44FD6"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A8616A">
              <w:rPr>
                <w:rFonts w:ascii="Times New Roman" w:eastAsia="宋体" w:hAnsi="Times New Roman" w:cs="Times New Roman"/>
                <w:b/>
                <w:bCs/>
                <w:color w:val="993333"/>
                <w:kern w:val="0"/>
                <w:sz w:val="24"/>
                <w14:ligatures w14:val="none"/>
              </w:rPr>
              <w:t>Other</w:t>
            </w:r>
          </w:p>
        </w:tc>
      </w:tr>
      <w:tr w:rsidR="00817F17" w14:paraId="34ACBF05" w14:textId="77777777" w:rsidTr="00AF5BA1">
        <w:tc>
          <w:tcPr>
            <w:tcW w:w="5000" w:type="pct"/>
            <w:gridSpan w:val="3"/>
            <w:shd w:val="clear" w:color="auto" w:fill="F5F5F5"/>
            <w:tcMar>
              <w:top w:w="75" w:type="dxa"/>
              <w:left w:w="120" w:type="dxa"/>
              <w:bottom w:w="75" w:type="dxa"/>
              <w:right w:w="120" w:type="dxa"/>
            </w:tcMar>
          </w:tcPr>
          <w:p w14:paraId="7CB7DD2B" w14:textId="273AFBE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TCGA-SARC</w:t>
            </w:r>
          </w:p>
        </w:tc>
      </w:tr>
      <w:tr w:rsidR="00817F17" w14:paraId="59380D4A" w14:textId="77777777" w:rsidTr="00AF5BA1">
        <w:tc>
          <w:tcPr>
            <w:tcW w:w="5000" w:type="pct"/>
            <w:gridSpan w:val="3"/>
            <w:shd w:val="clear" w:color="auto" w:fill="FFFFFF"/>
            <w:tcMar>
              <w:top w:w="75" w:type="dxa"/>
              <w:left w:w="120" w:type="dxa"/>
              <w:bottom w:w="75" w:type="dxa"/>
              <w:right w:w="120" w:type="dxa"/>
            </w:tcMar>
          </w:tcPr>
          <w:p w14:paraId="6228FB28" w14:textId="395E490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962AD7">
              <w:rPr>
                <w:rFonts w:ascii="Times New Roman" w:eastAsia="宋体" w:hAnsi="Times New Roman" w:cs="Times New Roman"/>
                <w:color w:val="333333"/>
                <w:kern w:val="0"/>
                <w:sz w:val="24"/>
                <w14:ligatures w14:val="none"/>
              </w:rPr>
              <w:t>Available from corresponding author upon reasonable request</w:t>
            </w:r>
          </w:p>
        </w:tc>
      </w:tr>
      <w:tr w:rsidR="00817F17" w14:paraId="22DF26D4" w14:textId="77777777" w:rsidTr="00AF5BA1">
        <w:tc>
          <w:tcPr>
            <w:tcW w:w="5000" w:type="pct"/>
            <w:gridSpan w:val="3"/>
            <w:shd w:val="clear" w:color="auto" w:fill="F5F5F5"/>
            <w:tcMar>
              <w:top w:w="75" w:type="dxa"/>
              <w:left w:w="120" w:type="dxa"/>
              <w:bottom w:w="75" w:type="dxa"/>
              <w:right w:w="120" w:type="dxa"/>
            </w:tcMar>
          </w:tcPr>
          <w:p w14:paraId="5662AEF7" w14:textId="31264E1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962AD7">
              <w:rPr>
                <w:rFonts w:ascii="Times New Roman" w:eastAsia="宋体" w:hAnsi="Times New Roman" w:cs="Times New Roman"/>
                <w:color w:val="333333"/>
                <w:kern w:val="0"/>
                <w:sz w:val="24"/>
                <w14:ligatures w14:val="none"/>
              </w:rPr>
              <w:t>The first principal component of six core genes was taken as calculated PCA</w:t>
            </w:r>
          </w:p>
        </w:tc>
      </w:tr>
    </w:tbl>
    <w:p w14:paraId="0BD9626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DA124D2"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A0E5B7E"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3D8A40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9195D50"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D1D8573"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095803D"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265A0EB"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FDB1B7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3BA1BCC"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5C919F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EF686D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2A03CC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8486134"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BC5E999"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29F7E08"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BB2BEA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3495DB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09D2D24"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8D99B11"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D7918D7"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5EEFBE1"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4F7E896"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E71C755"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F1E9E9D" w14:textId="55B3B912"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Supplementary tables</w:t>
      </w:r>
    </w:p>
    <w:p w14:paraId="74B7B2C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4652F3B5" w14:textId="77777777" w:rsidR="004C2851" w:rsidRPr="00AA0162" w:rsidRDefault="004C2851" w:rsidP="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S1. Number of genes that are differently expressed (high scoring vs low scoring).</w:t>
      </w:r>
    </w:p>
    <w:p w14:paraId="775C3833" w14:textId="77777777" w:rsidR="004C2851" w:rsidRPr="00AA0162" w:rsidRDefault="004C2851" w:rsidP="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S2. Six essential genes involved in lipid metabolism.</w:t>
      </w:r>
    </w:p>
    <w:p w14:paraId="27E4E760" w14:textId="77777777" w:rsidR="004C2851" w:rsidRPr="00AA0162" w:rsidRDefault="004C2851" w:rsidP="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S3. Hallmark pathways that are significantly enriched (FDR &lt; 0.05).</w:t>
      </w:r>
    </w:p>
    <w:p w14:paraId="46B76574" w14:textId="2942C028" w:rsidR="00CE3857" w:rsidRPr="002E470D" w:rsidRDefault="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S4. Marker genes of immune cell types.</w:t>
      </w:r>
      <w:bookmarkEnd w:id="50"/>
    </w:p>
    <w:sectPr w:rsidR="00CE3857" w:rsidRPr="002E470D" w:rsidSect="004C2851">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D62A5" w14:textId="77777777" w:rsidR="00C415FB" w:rsidRDefault="00C415FB">
      <w:pPr>
        <w:spacing w:line="240" w:lineRule="auto"/>
        <w:rPr>
          <w:rFonts w:hint="eastAsia"/>
        </w:rPr>
      </w:pPr>
      <w:r>
        <w:separator/>
      </w:r>
    </w:p>
  </w:endnote>
  <w:endnote w:type="continuationSeparator" w:id="0">
    <w:p w14:paraId="65ACD063" w14:textId="77777777" w:rsidR="00C415FB" w:rsidRDefault="00C415FB">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0D67A" w14:textId="77777777" w:rsidR="00CE3857" w:rsidRDefault="00CE3857">
    <w:pPr>
      <w:pStyle w:val="a3"/>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3990"/>
    </w:sdtPr>
    <w:sdtContent>
      <w:p w14:paraId="53EC79CC" w14:textId="77777777" w:rsidR="00CE3857" w:rsidRDefault="00000000">
        <w:pPr>
          <w:pStyle w:val="a3"/>
          <w:jc w:val="right"/>
          <w:rPr>
            <w:rFonts w:hint="eastAsia"/>
          </w:rPr>
        </w:pPr>
        <w:r>
          <w:fldChar w:fldCharType="begin"/>
        </w:r>
        <w:r>
          <w:instrText xml:space="preserve"> PAGE   \* MERGEFORMAT </w:instrText>
        </w:r>
        <w:r>
          <w:fldChar w:fldCharType="separate"/>
        </w:r>
        <w:r>
          <w:t>2</w:t>
        </w:r>
        <w:r>
          <w:fldChar w:fldCharType="end"/>
        </w:r>
      </w:p>
    </w:sdtContent>
  </w:sdt>
  <w:p w14:paraId="32097ACD" w14:textId="77777777" w:rsidR="00CE3857" w:rsidRDefault="00CE3857">
    <w:pPr>
      <w:pStyle w:val="a3"/>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07864" w14:textId="77777777" w:rsidR="00CE3857" w:rsidRDefault="00CE3857">
    <w:pPr>
      <w:pStyle w:val="a3"/>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0ACDE" w14:textId="77777777" w:rsidR="00C415FB" w:rsidRDefault="00C415FB">
      <w:pPr>
        <w:spacing w:after="0"/>
        <w:rPr>
          <w:rFonts w:hint="eastAsia"/>
        </w:rPr>
      </w:pPr>
      <w:r>
        <w:separator/>
      </w:r>
    </w:p>
  </w:footnote>
  <w:footnote w:type="continuationSeparator" w:id="0">
    <w:p w14:paraId="71EC9B2F" w14:textId="77777777" w:rsidR="00C415FB" w:rsidRDefault="00C415FB">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1FD77" w14:textId="77777777" w:rsidR="00CE3857" w:rsidRDefault="00CE3857">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A97D5" w14:textId="77777777" w:rsidR="00CE3857" w:rsidRDefault="00CE3857">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C6F2" w14:textId="77777777" w:rsidR="00CE3857" w:rsidRDefault="00CE3857">
    <w:pPr>
      <w:pStyle w:val="a5"/>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D76"/>
    <w:rsid w:val="0000734E"/>
    <w:rsid w:val="0001772B"/>
    <w:rsid w:val="00031770"/>
    <w:rsid w:val="0003400A"/>
    <w:rsid w:val="0003437D"/>
    <w:rsid w:val="000401FD"/>
    <w:rsid w:val="0004411D"/>
    <w:rsid w:val="000453C8"/>
    <w:rsid w:val="000536E7"/>
    <w:rsid w:val="00063155"/>
    <w:rsid w:val="0007164A"/>
    <w:rsid w:val="00072B7C"/>
    <w:rsid w:val="00073034"/>
    <w:rsid w:val="00082167"/>
    <w:rsid w:val="00084386"/>
    <w:rsid w:val="00093E69"/>
    <w:rsid w:val="000B0BCB"/>
    <w:rsid w:val="000B30BA"/>
    <w:rsid w:val="000B4F5A"/>
    <w:rsid w:val="000B6F86"/>
    <w:rsid w:val="000C0EF4"/>
    <w:rsid w:val="000D4226"/>
    <w:rsid w:val="000F7420"/>
    <w:rsid w:val="00124149"/>
    <w:rsid w:val="00125253"/>
    <w:rsid w:val="00144476"/>
    <w:rsid w:val="00150F47"/>
    <w:rsid w:val="001571C6"/>
    <w:rsid w:val="00167E67"/>
    <w:rsid w:val="00172651"/>
    <w:rsid w:val="00182358"/>
    <w:rsid w:val="001830BD"/>
    <w:rsid w:val="00183798"/>
    <w:rsid w:val="00183F2F"/>
    <w:rsid w:val="001844E8"/>
    <w:rsid w:val="0019261A"/>
    <w:rsid w:val="001A1961"/>
    <w:rsid w:val="001A2461"/>
    <w:rsid w:val="001A5909"/>
    <w:rsid w:val="001B043B"/>
    <w:rsid w:val="001B7369"/>
    <w:rsid w:val="001D1D98"/>
    <w:rsid w:val="001D5981"/>
    <w:rsid w:val="001E49A1"/>
    <w:rsid w:val="001E4A71"/>
    <w:rsid w:val="00205F26"/>
    <w:rsid w:val="0021393D"/>
    <w:rsid w:val="0021651E"/>
    <w:rsid w:val="0022206D"/>
    <w:rsid w:val="00226D34"/>
    <w:rsid w:val="00261D4B"/>
    <w:rsid w:val="002630CE"/>
    <w:rsid w:val="00264EAF"/>
    <w:rsid w:val="00272CBE"/>
    <w:rsid w:val="00275002"/>
    <w:rsid w:val="00276B3C"/>
    <w:rsid w:val="002A0148"/>
    <w:rsid w:val="002A1B2B"/>
    <w:rsid w:val="002A7396"/>
    <w:rsid w:val="002E470D"/>
    <w:rsid w:val="002F38BF"/>
    <w:rsid w:val="003034AB"/>
    <w:rsid w:val="0030730F"/>
    <w:rsid w:val="00307F35"/>
    <w:rsid w:val="003143C3"/>
    <w:rsid w:val="0031476D"/>
    <w:rsid w:val="00315F41"/>
    <w:rsid w:val="00325F31"/>
    <w:rsid w:val="00336025"/>
    <w:rsid w:val="00351DF8"/>
    <w:rsid w:val="00360EA0"/>
    <w:rsid w:val="00380349"/>
    <w:rsid w:val="00380CB8"/>
    <w:rsid w:val="00393373"/>
    <w:rsid w:val="003A1FF9"/>
    <w:rsid w:val="003B3526"/>
    <w:rsid w:val="003B52F5"/>
    <w:rsid w:val="003C6E88"/>
    <w:rsid w:val="003C7064"/>
    <w:rsid w:val="003D575E"/>
    <w:rsid w:val="003D5990"/>
    <w:rsid w:val="003E676E"/>
    <w:rsid w:val="003F7B07"/>
    <w:rsid w:val="00411DE4"/>
    <w:rsid w:val="00413518"/>
    <w:rsid w:val="00420B20"/>
    <w:rsid w:val="00420B3D"/>
    <w:rsid w:val="00435334"/>
    <w:rsid w:val="00436DCC"/>
    <w:rsid w:val="00471512"/>
    <w:rsid w:val="00480972"/>
    <w:rsid w:val="00492881"/>
    <w:rsid w:val="004B0BB9"/>
    <w:rsid w:val="004C2851"/>
    <w:rsid w:val="004C2CB4"/>
    <w:rsid w:val="004D4349"/>
    <w:rsid w:val="004E2FB7"/>
    <w:rsid w:val="004E4709"/>
    <w:rsid w:val="004F4B91"/>
    <w:rsid w:val="004F694E"/>
    <w:rsid w:val="00502E16"/>
    <w:rsid w:val="00503C43"/>
    <w:rsid w:val="0050655F"/>
    <w:rsid w:val="005066DE"/>
    <w:rsid w:val="00507DD9"/>
    <w:rsid w:val="00511FF8"/>
    <w:rsid w:val="00513513"/>
    <w:rsid w:val="00517629"/>
    <w:rsid w:val="00523974"/>
    <w:rsid w:val="00524A01"/>
    <w:rsid w:val="00526B45"/>
    <w:rsid w:val="00534206"/>
    <w:rsid w:val="00543142"/>
    <w:rsid w:val="00561A23"/>
    <w:rsid w:val="00565267"/>
    <w:rsid w:val="00570D2A"/>
    <w:rsid w:val="005719FF"/>
    <w:rsid w:val="0057228C"/>
    <w:rsid w:val="005A134B"/>
    <w:rsid w:val="005B4A59"/>
    <w:rsid w:val="005C1904"/>
    <w:rsid w:val="005C20C7"/>
    <w:rsid w:val="005C3DD3"/>
    <w:rsid w:val="005F4CA0"/>
    <w:rsid w:val="0060158F"/>
    <w:rsid w:val="00606F0C"/>
    <w:rsid w:val="006118CF"/>
    <w:rsid w:val="006144C7"/>
    <w:rsid w:val="00615539"/>
    <w:rsid w:val="00617D75"/>
    <w:rsid w:val="0062175E"/>
    <w:rsid w:val="00623321"/>
    <w:rsid w:val="00624B1C"/>
    <w:rsid w:val="00625A6B"/>
    <w:rsid w:val="006310F6"/>
    <w:rsid w:val="00634CFE"/>
    <w:rsid w:val="0063579F"/>
    <w:rsid w:val="006428D9"/>
    <w:rsid w:val="00654678"/>
    <w:rsid w:val="00655354"/>
    <w:rsid w:val="00662270"/>
    <w:rsid w:val="00662506"/>
    <w:rsid w:val="00670224"/>
    <w:rsid w:val="006804FD"/>
    <w:rsid w:val="006A071E"/>
    <w:rsid w:val="006A4091"/>
    <w:rsid w:val="006A43EC"/>
    <w:rsid w:val="006E002A"/>
    <w:rsid w:val="006E4A37"/>
    <w:rsid w:val="006E676E"/>
    <w:rsid w:val="006F28AE"/>
    <w:rsid w:val="00700DFB"/>
    <w:rsid w:val="00726042"/>
    <w:rsid w:val="0072636D"/>
    <w:rsid w:val="00731501"/>
    <w:rsid w:val="00731F6D"/>
    <w:rsid w:val="0073281E"/>
    <w:rsid w:val="0073774F"/>
    <w:rsid w:val="00740BB0"/>
    <w:rsid w:val="007445F5"/>
    <w:rsid w:val="00750E8D"/>
    <w:rsid w:val="0076076C"/>
    <w:rsid w:val="0076230C"/>
    <w:rsid w:val="00763563"/>
    <w:rsid w:val="007731C0"/>
    <w:rsid w:val="007831EA"/>
    <w:rsid w:val="00793086"/>
    <w:rsid w:val="00796BA3"/>
    <w:rsid w:val="007A120F"/>
    <w:rsid w:val="007B3BEE"/>
    <w:rsid w:val="007C213B"/>
    <w:rsid w:val="007D0541"/>
    <w:rsid w:val="007D7BEE"/>
    <w:rsid w:val="007F4FBB"/>
    <w:rsid w:val="007F6272"/>
    <w:rsid w:val="0080424D"/>
    <w:rsid w:val="00816B9D"/>
    <w:rsid w:val="00817F17"/>
    <w:rsid w:val="00825C1E"/>
    <w:rsid w:val="008324BE"/>
    <w:rsid w:val="00834E5A"/>
    <w:rsid w:val="00841CCC"/>
    <w:rsid w:val="00842531"/>
    <w:rsid w:val="00843003"/>
    <w:rsid w:val="00847780"/>
    <w:rsid w:val="00854B62"/>
    <w:rsid w:val="0086441C"/>
    <w:rsid w:val="00871553"/>
    <w:rsid w:val="00873E54"/>
    <w:rsid w:val="008800B9"/>
    <w:rsid w:val="00886773"/>
    <w:rsid w:val="00890850"/>
    <w:rsid w:val="00893E2E"/>
    <w:rsid w:val="008A634F"/>
    <w:rsid w:val="008A7226"/>
    <w:rsid w:val="008B0F96"/>
    <w:rsid w:val="008B18FF"/>
    <w:rsid w:val="008C1F66"/>
    <w:rsid w:val="008E11A2"/>
    <w:rsid w:val="008E75E0"/>
    <w:rsid w:val="009076BA"/>
    <w:rsid w:val="00916CF8"/>
    <w:rsid w:val="009238AF"/>
    <w:rsid w:val="00935D33"/>
    <w:rsid w:val="00952385"/>
    <w:rsid w:val="0095351A"/>
    <w:rsid w:val="00960375"/>
    <w:rsid w:val="00962AD7"/>
    <w:rsid w:val="00972531"/>
    <w:rsid w:val="00983068"/>
    <w:rsid w:val="0099001D"/>
    <w:rsid w:val="00990DB2"/>
    <w:rsid w:val="009A04E5"/>
    <w:rsid w:val="009A682C"/>
    <w:rsid w:val="009D3FE0"/>
    <w:rsid w:val="009E52A7"/>
    <w:rsid w:val="009F0F06"/>
    <w:rsid w:val="009F471F"/>
    <w:rsid w:val="009F59FF"/>
    <w:rsid w:val="009F6650"/>
    <w:rsid w:val="00A04522"/>
    <w:rsid w:val="00A076F6"/>
    <w:rsid w:val="00A14505"/>
    <w:rsid w:val="00A20A1B"/>
    <w:rsid w:val="00A44850"/>
    <w:rsid w:val="00A4534D"/>
    <w:rsid w:val="00A5026A"/>
    <w:rsid w:val="00A502FA"/>
    <w:rsid w:val="00A71DB6"/>
    <w:rsid w:val="00A752DA"/>
    <w:rsid w:val="00A858DF"/>
    <w:rsid w:val="00A8616A"/>
    <w:rsid w:val="00AA0162"/>
    <w:rsid w:val="00AA1739"/>
    <w:rsid w:val="00AA5A22"/>
    <w:rsid w:val="00AA69DF"/>
    <w:rsid w:val="00AC3233"/>
    <w:rsid w:val="00AC403D"/>
    <w:rsid w:val="00AC5E10"/>
    <w:rsid w:val="00AC73B8"/>
    <w:rsid w:val="00AE2334"/>
    <w:rsid w:val="00AE4620"/>
    <w:rsid w:val="00AF61A9"/>
    <w:rsid w:val="00B13A3A"/>
    <w:rsid w:val="00B14CC7"/>
    <w:rsid w:val="00B26499"/>
    <w:rsid w:val="00B32725"/>
    <w:rsid w:val="00B57D15"/>
    <w:rsid w:val="00B57FFC"/>
    <w:rsid w:val="00B61146"/>
    <w:rsid w:val="00B6190C"/>
    <w:rsid w:val="00B655C8"/>
    <w:rsid w:val="00B80B29"/>
    <w:rsid w:val="00B8747C"/>
    <w:rsid w:val="00B929C6"/>
    <w:rsid w:val="00BA6EA4"/>
    <w:rsid w:val="00BB7DF1"/>
    <w:rsid w:val="00BC181C"/>
    <w:rsid w:val="00BC2F86"/>
    <w:rsid w:val="00BF07C8"/>
    <w:rsid w:val="00BF0EC5"/>
    <w:rsid w:val="00BF18BB"/>
    <w:rsid w:val="00C00080"/>
    <w:rsid w:val="00C0040F"/>
    <w:rsid w:val="00C30E4B"/>
    <w:rsid w:val="00C415FB"/>
    <w:rsid w:val="00C43604"/>
    <w:rsid w:val="00C441DC"/>
    <w:rsid w:val="00C505B2"/>
    <w:rsid w:val="00C527F3"/>
    <w:rsid w:val="00C656EA"/>
    <w:rsid w:val="00C824C3"/>
    <w:rsid w:val="00CA08B2"/>
    <w:rsid w:val="00CA303F"/>
    <w:rsid w:val="00CB059F"/>
    <w:rsid w:val="00CB190B"/>
    <w:rsid w:val="00CB2589"/>
    <w:rsid w:val="00CB37DB"/>
    <w:rsid w:val="00CB51AD"/>
    <w:rsid w:val="00CB6D0E"/>
    <w:rsid w:val="00CB73DB"/>
    <w:rsid w:val="00CD3A0B"/>
    <w:rsid w:val="00CD516E"/>
    <w:rsid w:val="00CE1749"/>
    <w:rsid w:val="00CE3857"/>
    <w:rsid w:val="00CE3D49"/>
    <w:rsid w:val="00CE4CA5"/>
    <w:rsid w:val="00D06542"/>
    <w:rsid w:val="00D068CF"/>
    <w:rsid w:val="00D12EF7"/>
    <w:rsid w:val="00D15E94"/>
    <w:rsid w:val="00D4218F"/>
    <w:rsid w:val="00D54F1D"/>
    <w:rsid w:val="00D61B6D"/>
    <w:rsid w:val="00D660DD"/>
    <w:rsid w:val="00D77EAD"/>
    <w:rsid w:val="00D82EAF"/>
    <w:rsid w:val="00DA72CB"/>
    <w:rsid w:val="00DB0AD5"/>
    <w:rsid w:val="00DB344E"/>
    <w:rsid w:val="00DB5B49"/>
    <w:rsid w:val="00DB641D"/>
    <w:rsid w:val="00DC1C6B"/>
    <w:rsid w:val="00DC464E"/>
    <w:rsid w:val="00DD0A00"/>
    <w:rsid w:val="00DD270E"/>
    <w:rsid w:val="00DD576A"/>
    <w:rsid w:val="00E00A5C"/>
    <w:rsid w:val="00E057F6"/>
    <w:rsid w:val="00E233FC"/>
    <w:rsid w:val="00E27437"/>
    <w:rsid w:val="00E34608"/>
    <w:rsid w:val="00E363CC"/>
    <w:rsid w:val="00E44D0C"/>
    <w:rsid w:val="00E46670"/>
    <w:rsid w:val="00E6155F"/>
    <w:rsid w:val="00E67665"/>
    <w:rsid w:val="00E7483E"/>
    <w:rsid w:val="00E95C67"/>
    <w:rsid w:val="00EA34D6"/>
    <w:rsid w:val="00EB5DB5"/>
    <w:rsid w:val="00EC0A60"/>
    <w:rsid w:val="00EC4B90"/>
    <w:rsid w:val="00EE1708"/>
    <w:rsid w:val="00EF206B"/>
    <w:rsid w:val="00EF2669"/>
    <w:rsid w:val="00F05C4F"/>
    <w:rsid w:val="00F13D53"/>
    <w:rsid w:val="00F24FCE"/>
    <w:rsid w:val="00F40FE6"/>
    <w:rsid w:val="00F410B9"/>
    <w:rsid w:val="00F43646"/>
    <w:rsid w:val="00F45CFC"/>
    <w:rsid w:val="00F60A2C"/>
    <w:rsid w:val="00F62164"/>
    <w:rsid w:val="00F6304C"/>
    <w:rsid w:val="00F66E22"/>
    <w:rsid w:val="00F72C4C"/>
    <w:rsid w:val="00F736DC"/>
    <w:rsid w:val="00F87CD2"/>
    <w:rsid w:val="00F937C2"/>
    <w:rsid w:val="00F94307"/>
    <w:rsid w:val="00FB4718"/>
    <w:rsid w:val="00FB4D76"/>
    <w:rsid w:val="00FB4FE5"/>
    <w:rsid w:val="00FC1F36"/>
    <w:rsid w:val="00FC2AE5"/>
    <w:rsid w:val="00FD6CB1"/>
    <w:rsid w:val="00FE01A4"/>
    <w:rsid w:val="00FE2769"/>
    <w:rsid w:val="00FF18A9"/>
    <w:rsid w:val="00FF1E75"/>
    <w:rsid w:val="00FF3F1F"/>
    <w:rsid w:val="014574A2"/>
    <w:rsid w:val="061A394A"/>
    <w:rsid w:val="06AF038E"/>
    <w:rsid w:val="0A516F86"/>
    <w:rsid w:val="0BB3256C"/>
    <w:rsid w:val="0E7A2DFA"/>
    <w:rsid w:val="14DB226E"/>
    <w:rsid w:val="1516486E"/>
    <w:rsid w:val="27514612"/>
    <w:rsid w:val="2ACA2711"/>
    <w:rsid w:val="2F8530AA"/>
    <w:rsid w:val="388B1ACD"/>
    <w:rsid w:val="3AB00CEB"/>
    <w:rsid w:val="3AF01909"/>
    <w:rsid w:val="3BD258C9"/>
    <w:rsid w:val="3C3519B4"/>
    <w:rsid w:val="4A8F5A0D"/>
    <w:rsid w:val="4AE35144"/>
    <w:rsid w:val="4E6600F3"/>
    <w:rsid w:val="4F0B3CA6"/>
    <w:rsid w:val="4F6463E1"/>
    <w:rsid w:val="52EB0BC7"/>
    <w:rsid w:val="584274BB"/>
    <w:rsid w:val="5FE36E11"/>
    <w:rsid w:val="604C539B"/>
    <w:rsid w:val="6519160F"/>
    <w:rsid w:val="6E241327"/>
    <w:rsid w:val="70331DD0"/>
    <w:rsid w:val="73624258"/>
    <w:rsid w:val="798A7103"/>
    <w:rsid w:val="7D1C0D35"/>
    <w:rsid w:val="7E7876C9"/>
    <w:rsid w:val="7F1211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DAA9F"/>
  <w15:docId w15:val="{B9A266E4-C211-4309-93DB-EB6D43E6F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1FF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320"/>
        <w:tab w:val="right" w:pos="8640"/>
      </w:tabs>
      <w:spacing w:after="0" w:line="240" w:lineRule="auto"/>
    </w:pPr>
  </w:style>
  <w:style w:type="paragraph" w:styleId="a5">
    <w:name w:val="header"/>
    <w:basedOn w:val="a"/>
    <w:link w:val="a6"/>
    <w:uiPriority w:val="99"/>
    <w:unhideWhenUsed/>
    <w:qFormat/>
    <w:pPr>
      <w:tabs>
        <w:tab w:val="center" w:pos="4320"/>
        <w:tab w:val="right" w:pos="8640"/>
      </w:tabs>
      <w:spacing w:after="0" w:line="240" w:lineRule="auto"/>
    </w:p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semiHidden/>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Strong"/>
    <w:basedOn w:val="a0"/>
    <w:uiPriority w:val="22"/>
    <w:qFormat/>
    <w:rPr>
      <w:b/>
      <w:bCs/>
    </w:rPr>
  </w:style>
  <w:style w:type="character" w:styleId="ad">
    <w:name w:val="Emphasis"/>
    <w:basedOn w:val="a0"/>
    <w:uiPriority w:val="20"/>
    <w:qFormat/>
    <w:rPr>
      <w:i/>
      <w:iCs/>
    </w:rPr>
  </w:style>
  <w:style w:type="character" w:styleId="ae">
    <w:name w:val="line number"/>
    <w:basedOn w:val="a0"/>
    <w:uiPriority w:val="99"/>
    <w:semiHidden/>
    <w:unhideWhenUsed/>
    <w:qFormat/>
  </w:style>
  <w:style w:type="character" w:styleId="af">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pple-converted-space">
    <w:name w:val="apple-converted-space"/>
    <w:basedOn w:val="a0"/>
    <w:qFormat/>
  </w:style>
  <w:style w:type="paragraph" w:customStyle="1" w:styleId="section-title">
    <w:name w:val="section-title"/>
    <w:basedOn w:val="a"/>
    <w:qFormat/>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footnote">
    <w:name w:val="footnote"/>
    <w:basedOn w:val="a"/>
    <w:qFormat/>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character" w:customStyle="1" w:styleId="21">
    <w:name w:val="未处理的提及2"/>
    <w:basedOn w:val="a0"/>
    <w:uiPriority w:val="99"/>
    <w:semiHidden/>
    <w:unhideWhenUsed/>
    <w:qFormat/>
    <w:rPr>
      <w:color w:val="605E5C"/>
      <w:shd w:val="clear" w:color="auto" w:fill="E1DFDD"/>
    </w:rPr>
  </w:style>
  <w:style w:type="character" w:styleId="af5">
    <w:name w:val="Unresolved Mention"/>
    <w:basedOn w:val="a0"/>
    <w:uiPriority w:val="99"/>
    <w:semiHidden/>
    <w:unhideWhenUsed/>
    <w:rsid w:val="001A1961"/>
    <w:rPr>
      <w:color w:val="605E5C"/>
      <w:shd w:val="clear" w:color="auto" w:fill="E1DFDD"/>
    </w:rPr>
  </w:style>
  <w:style w:type="table" w:styleId="af6">
    <w:name w:val="Table Grid"/>
    <w:basedOn w:val="a1"/>
    <w:uiPriority w:val="39"/>
    <w:rsid w:val="00731F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08FAA-6AAC-4883-A7D8-4D505DFCC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22</Pages>
  <Words>7127</Words>
  <Characters>40700</Characters>
  <Application>Microsoft Office Word</Application>
  <DocSecurity>0</DocSecurity>
  <Lines>884</Lines>
  <Paragraphs>310</Paragraphs>
  <ScaleCrop>false</ScaleCrop>
  <Company/>
  <LinksUpToDate>false</LinksUpToDate>
  <CharactersWithSpaces>47517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 X</dc:creator>
  <cp:lastModifiedBy>WH X</cp:lastModifiedBy>
  <cp:revision>379</cp:revision>
  <dcterms:created xsi:type="dcterms:W3CDTF">2026-07-03T21:52:00Z</dcterms:created>
  <dcterms:modified xsi:type="dcterms:W3CDTF">2026-07-27T14:58:00Z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eyJoZGlkIjoiZmJlYWJjMmI4NDVlYWU0NGEwYjc4MGJhOGNkYTVjMDkiLCJ1c2VySWQiOiIyNzEyNDQyMDkifQ==</vt:lpwstr>
  </property>
  <property fmtid="{D5CDD505-2E9C-101B-9397-08002B2CF9AE}" pid="3" name="KSOProductBuildVer">
    <vt:lpwstr>2052-12.1.0.26884</vt:lpwstr>
  </property>
  <property fmtid="{D5CDD505-2E9C-101B-9397-08002B2CF9AE}" pid="4" name="ICV">
    <vt:lpwstr>16D36E02D8D744AA92A9AAFD45F86A8D_12</vt:lpwstr>
  </property>
  <property fmtid="{D5CDD505-2E9C-101B-9397-08002B2CF9AE}" pid="5" name="ZOTERO_PREF_1">
    <vt:lpwstr>&lt;data data-version="3" zotero-version="9.0.6"&gt;&lt;session id="DYyGSltz"/&gt;&lt;style id="http://www.zotero.org/styles/american-association-for-cancer-research" hasBibliography="1" bibliographyStyleHasBeenSet="0"/&gt;&lt;prefs&gt;&lt;pref name="fieldType" value="Field"/&gt;&lt;/pre</vt:lpwstr>
  </property>
  <property fmtid="{D5CDD505-2E9C-101B-9397-08002B2CF9AE}" pid="6" name="ZOTERO_PREF_2">
    <vt:lpwstr>fs&gt;&lt;/data&gt;</vt:lpwstr>
  </property>
</Properties>
</file>