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E3AC" w14:textId="77777777" w:rsidR="00CE3857" w:rsidRPr="002E470D" w:rsidRDefault="00000000">
      <w:pPr>
        <w:keepLines/>
        <w:widowControl/>
        <w:suppressAutoHyphens/>
        <w:kinsoku w:val="0"/>
        <w:spacing w:after="120" w:line="240" w:lineRule="auto"/>
        <w:jc w:val="both"/>
        <w:outlineLvl w:val="0"/>
        <w:rPr>
          <w:rFonts w:ascii="Times New Roman" w:eastAsia="宋体" w:hAnsi="Times New Roman" w:cs="Times New Roman"/>
          <w:b/>
          <w:bCs/>
          <w:kern w:val="36"/>
          <w:sz w:val="24"/>
          <w14:ligatures w14:val="none"/>
        </w:rPr>
      </w:pPr>
      <w:r w:rsidRPr="002E470D">
        <w:rPr>
          <w:rFonts w:ascii="Times New Roman" w:eastAsia="宋体" w:hAnsi="Times New Roman" w:cs="Times New Roman"/>
          <w:b/>
          <w:bCs/>
          <w:kern w:val="36"/>
          <w:sz w:val="24"/>
          <w14:ligatures w14:val="none"/>
        </w:rPr>
        <w:t>Lipid metabolism score reflects PPARG/CD36 pathway activation and identifies high</w:t>
      </w:r>
      <w:r w:rsidRPr="002E470D">
        <w:rPr>
          <w:rFonts w:ascii="Times New Roman" w:eastAsia="宋体" w:hAnsi="Times New Roman" w:cs="Times New Roman"/>
          <w:b/>
          <w:bCs/>
          <w:kern w:val="36"/>
          <w:sz w:val="24"/>
          <w14:ligatures w14:val="none"/>
        </w:rPr>
        <w:noBreakHyphen/>
        <w:t>risk dedifferentiated liposarcoma</w:t>
      </w:r>
    </w:p>
    <w:p w14:paraId="5F022F4D" w14:textId="77777777" w:rsidR="00CE3857" w:rsidRPr="002E470D" w:rsidRDefault="00000000">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Weihua Xiao, </w:t>
      </w:r>
      <w:proofErr w:type="spellStart"/>
      <w:r w:rsidRPr="002E470D">
        <w:rPr>
          <w:rFonts w:ascii="Times New Roman" w:eastAsia="宋体" w:hAnsi="Times New Roman" w:cs="Times New Roman"/>
          <w:kern w:val="0"/>
          <w:sz w:val="24"/>
          <w14:ligatures w14:val="none"/>
        </w:rPr>
        <w:t>Chunjiao</w:t>
      </w:r>
      <w:proofErr w:type="spellEnd"/>
      <w:r w:rsidRPr="002E470D">
        <w:rPr>
          <w:rFonts w:ascii="Times New Roman" w:eastAsia="宋体" w:hAnsi="Times New Roman" w:cs="Times New Roman"/>
          <w:kern w:val="0"/>
          <w:sz w:val="24"/>
          <w14:ligatures w14:val="none"/>
        </w:rPr>
        <w:t xml:space="preserve"> Liu, </w:t>
      </w:r>
      <w:proofErr w:type="spellStart"/>
      <w:r w:rsidRPr="002E470D">
        <w:rPr>
          <w:rFonts w:ascii="Times New Roman" w:eastAsia="宋体" w:hAnsi="Times New Roman" w:cs="Times New Roman"/>
          <w:kern w:val="0"/>
          <w:sz w:val="24"/>
          <w14:ligatures w14:val="none"/>
        </w:rPr>
        <w:t>Jingdan</w:t>
      </w:r>
      <w:proofErr w:type="spellEnd"/>
      <w:r w:rsidRPr="002E470D">
        <w:rPr>
          <w:rFonts w:ascii="Times New Roman" w:eastAsia="宋体" w:hAnsi="Times New Roman" w:cs="Times New Roman"/>
          <w:kern w:val="0"/>
          <w:sz w:val="24"/>
          <w14:ligatures w14:val="none"/>
        </w:rPr>
        <w:t xml:space="preserve"> Sheng, </w:t>
      </w:r>
      <w:proofErr w:type="spellStart"/>
      <w:r w:rsidRPr="002E470D">
        <w:rPr>
          <w:rFonts w:ascii="Times New Roman" w:eastAsia="宋体" w:hAnsi="Times New Roman" w:cs="Times New Roman"/>
          <w:kern w:val="0"/>
          <w:sz w:val="24"/>
          <w14:ligatures w14:val="none"/>
        </w:rPr>
        <w:t>Junqiang</w:t>
      </w:r>
      <w:proofErr w:type="spellEnd"/>
      <w:r w:rsidRPr="002E470D">
        <w:rPr>
          <w:rFonts w:ascii="Times New Roman" w:eastAsia="宋体" w:hAnsi="Times New Roman" w:cs="Times New Roman"/>
          <w:kern w:val="0"/>
          <w:sz w:val="24"/>
          <w14:ligatures w14:val="none"/>
        </w:rPr>
        <w:t xml:space="preserve"> Li, </w:t>
      </w:r>
      <w:proofErr w:type="spellStart"/>
      <w:r w:rsidRPr="002E470D">
        <w:rPr>
          <w:rFonts w:ascii="Times New Roman" w:eastAsia="宋体" w:hAnsi="Times New Roman" w:cs="Times New Roman"/>
          <w:kern w:val="0"/>
          <w:sz w:val="24"/>
          <w14:ligatures w14:val="none"/>
        </w:rPr>
        <w:t>Shaonan</w:t>
      </w:r>
      <w:proofErr w:type="spellEnd"/>
      <w:r w:rsidRPr="002E470D">
        <w:rPr>
          <w:rFonts w:ascii="Times New Roman" w:eastAsia="宋体" w:hAnsi="Times New Roman" w:cs="Times New Roman"/>
          <w:kern w:val="0"/>
          <w:sz w:val="24"/>
          <w14:ligatures w14:val="none"/>
        </w:rPr>
        <w:t xml:space="preserve"> Ge, </w:t>
      </w:r>
      <w:proofErr w:type="spellStart"/>
      <w:r w:rsidRPr="002E470D">
        <w:rPr>
          <w:rFonts w:ascii="Times New Roman" w:eastAsia="宋体" w:hAnsi="Times New Roman" w:cs="Times New Roman"/>
          <w:kern w:val="0"/>
          <w:sz w:val="24"/>
          <w14:ligatures w14:val="none"/>
        </w:rPr>
        <w:t>Maofen</w:t>
      </w:r>
      <w:proofErr w:type="spellEnd"/>
      <w:r w:rsidRPr="002E470D">
        <w:rPr>
          <w:rFonts w:ascii="Times New Roman" w:eastAsia="宋体" w:hAnsi="Times New Roman" w:cs="Times New Roman"/>
          <w:kern w:val="0"/>
          <w:sz w:val="24"/>
          <w14:ligatures w14:val="none"/>
        </w:rPr>
        <w:t xml:space="preserve"> Jiang, Min Wang, Ji He, Yaxin Ding, </w:t>
      </w:r>
      <w:proofErr w:type="spellStart"/>
      <w:r w:rsidRPr="002E470D">
        <w:rPr>
          <w:rFonts w:ascii="Times New Roman" w:eastAsia="宋体" w:hAnsi="Times New Roman" w:cs="Times New Roman"/>
          <w:kern w:val="0"/>
          <w:sz w:val="24"/>
          <w14:ligatures w14:val="none"/>
        </w:rPr>
        <w:t>Haifen</w:t>
      </w:r>
      <w:proofErr w:type="spellEnd"/>
      <w:r w:rsidRPr="002E470D">
        <w:rPr>
          <w:rFonts w:ascii="Times New Roman" w:eastAsia="宋体" w:hAnsi="Times New Roman" w:cs="Times New Roman"/>
          <w:kern w:val="0"/>
          <w:sz w:val="24"/>
          <w14:ligatures w14:val="none"/>
        </w:rPr>
        <w:t xml:space="preserve"> Ma</w:t>
      </w:r>
    </w:p>
    <w:p w14:paraId="71DD7383"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bookmarkStart w:id="0" w:name="OLE_LINK1"/>
    </w:p>
    <w:bookmarkEnd w:id="0"/>
    <w:p w14:paraId="57A560EC" w14:textId="77777777" w:rsidR="00CE3857" w:rsidRPr="002E470D" w:rsidRDefault="00000000">
      <w:pPr>
        <w:keepLines/>
        <w:widowControl/>
        <w:suppressAutoHyphens/>
        <w:kinsoku w:val="0"/>
        <w:spacing w:after="0" w:line="240" w:lineRule="auto"/>
        <w:jc w:val="both"/>
        <w:rPr>
          <w:rFonts w:ascii="Times New Roman" w:eastAsia="宋体" w:hAnsi="Times New Roman" w:cs="Times New Roman"/>
          <w:kern w:val="0"/>
          <w:sz w:val="24"/>
          <w14:ligatures w14:val="none"/>
        </w:rPr>
      </w:pPr>
      <w:proofErr w:type="spellStart"/>
      <w:r w:rsidRPr="002E470D">
        <w:rPr>
          <w:rFonts w:ascii="Times New Roman" w:eastAsia="宋体" w:hAnsi="Times New Roman" w:cs="Times New Roman"/>
          <w:kern w:val="0"/>
          <w:sz w:val="24"/>
          <w14:ligatures w14:val="none"/>
        </w:rPr>
        <w:t>Beilun</w:t>
      </w:r>
      <w:proofErr w:type="spellEnd"/>
      <w:r w:rsidRPr="002E470D">
        <w:rPr>
          <w:rFonts w:ascii="Times New Roman" w:eastAsia="宋体" w:hAnsi="Times New Roman" w:cs="Times New Roman"/>
          <w:kern w:val="0"/>
          <w:sz w:val="24"/>
          <w14:ligatures w14:val="none"/>
        </w:rPr>
        <w:t xml:space="preserve"> Branch of the First Affiliated Hospital, College of Medicine, Zhejiang University Ningbo, China</w:t>
      </w:r>
    </w:p>
    <w:p w14:paraId="7E843325" w14:textId="77777777" w:rsidR="00CE3857" w:rsidRPr="002E470D" w:rsidRDefault="00000000">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Corresponding Author:</w:t>
      </w:r>
      <w:r w:rsidRPr="002E470D">
        <w:rPr>
          <w:rFonts w:ascii="Times New Roman" w:eastAsia="宋体" w:hAnsi="Times New Roman" w:cs="Times New Roman"/>
          <w:kern w:val="0"/>
          <w:sz w:val="24"/>
          <w14:ligatures w14:val="none"/>
        </w:rPr>
        <w:t xml:space="preserve"> </w:t>
      </w:r>
      <w:proofErr w:type="spellStart"/>
      <w:r w:rsidRPr="002E470D">
        <w:rPr>
          <w:rFonts w:ascii="Times New Roman" w:eastAsia="宋体" w:hAnsi="Times New Roman" w:cs="Times New Roman"/>
          <w:kern w:val="0"/>
          <w:sz w:val="24"/>
          <w14:ligatures w14:val="none"/>
        </w:rPr>
        <w:t>Chunjiao</w:t>
      </w:r>
      <w:proofErr w:type="spellEnd"/>
      <w:r w:rsidRPr="002E470D">
        <w:rPr>
          <w:rFonts w:ascii="Times New Roman" w:eastAsia="宋体" w:hAnsi="Times New Roman" w:cs="Times New Roman"/>
          <w:kern w:val="0"/>
          <w:sz w:val="24"/>
          <w14:ligatures w14:val="none"/>
        </w:rPr>
        <w:t xml:space="preserve"> Liu (liuchunjiao2022@163.com). Weihua Xiao (hua7708@126.com). Phone: +</w:t>
      </w:r>
      <w:bookmarkStart w:id="1" w:name="OLE_LINK31"/>
      <w:r w:rsidRPr="002E470D">
        <w:rPr>
          <w:rFonts w:ascii="Times New Roman" w:eastAsia="宋体" w:hAnsi="Times New Roman" w:cs="Times New Roman"/>
          <w:kern w:val="0"/>
          <w:sz w:val="24"/>
          <w14:ligatures w14:val="none"/>
        </w:rPr>
        <w:t>86-574-8677-6335</w:t>
      </w:r>
      <w:bookmarkEnd w:id="1"/>
      <w:r w:rsidRPr="002E470D">
        <w:rPr>
          <w:rFonts w:ascii="Times New Roman" w:eastAsia="宋体" w:hAnsi="Times New Roman" w:cs="Times New Roman"/>
          <w:kern w:val="0"/>
          <w:sz w:val="24"/>
          <w14:ligatures w14:val="none"/>
        </w:rPr>
        <w:t>; Fax: 86-574-8677-6335</w:t>
      </w:r>
    </w:p>
    <w:p w14:paraId="30AB047C"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2BD7CE35" w14:textId="77777777" w:rsidR="00CE3857" w:rsidRPr="002E470D" w:rsidRDefault="00000000">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Abstract</w:t>
      </w:r>
    </w:p>
    <w:p w14:paraId="0D84BB6A" w14:textId="77777777" w:rsidR="006E676E" w:rsidRPr="002E470D" w:rsidRDefault="006E676E">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10E93D5" w14:textId="648142F8" w:rsidR="00CE3857" w:rsidRPr="002E470D" w:rsidRDefault="006E676E">
      <w:pPr>
        <w:keepLines/>
        <w:widowControl/>
        <w:suppressAutoHyphens/>
        <w:kinsoku w:val="0"/>
        <w:spacing w:after="0" w:line="240" w:lineRule="auto"/>
        <w:ind w:firstLine="480"/>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There are no molecular markers which can be used to predict the prognosis of dedifferentiated liposarcoma (DDLPS). A 6-gene lipid metabolism score (LMS) was built based on the transcriptomic data of The Cancer Genome Atlas (TCGA) (n=50) and </w:t>
      </w:r>
      <w:r w:rsidR="0003437D" w:rsidRPr="0003437D">
        <w:rPr>
          <w:rFonts w:ascii="Times New Roman" w:eastAsia="宋体" w:hAnsi="Times New Roman" w:cs="Times New Roman"/>
          <w:kern w:val="0"/>
          <w:sz w:val="24"/>
          <w14:ligatures w14:val="none"/>
        </w:rPr>
        <w:t>validated it in two independent GEO cohorts for expression patterns (GSE21122, n=158; GSE159659, n=45) and further confirmed its prognostic value in an external cohort of 140 liposarcomas (GSE30929; HR=3.11, 95% CI: 1.64–5.88, P=0.00049).</w:t>
      </w:r>
      <w:r w:rsidRPr="002E470D">
        <w:rPr>
          <w:rFonts w:ascii="Times New Roman" w:eastAsia="宋体" w:hAnsi="Times New Roman" w:cs="Times New Roman"/>
          <w:kern w:val="0"/>
          <w:sz w:val="24"/>
          <w14:ligatures w14:val="none"/>
        </w:rPr>
        <w:t xml:space="preserve"> The score is a prognostic axis specific to males: high score-males had a 5.83-fold increased risk of death (95% CI: 1.55–21.95, P &lt; 0.01), but not females. Indeed, the score is highly mechanistically associated with PPARG/CD36 pathway activity (R=0.62 and 0.58) and high score tumors have co-occurring immune suppression (interferon gamma response NES=−1.82) and cell cycle activation (mitotic </w:t>
      </w:r>
      <w:proofErr w:type="spellStart"/>
      <w:r w:rsidRPr="002E470D">
        <w:rPr>
          <w:rFonts w:ascii="Times New Roman" w:eastAsia="宋体" w:hAnsi="Times New Roman" w:cs="Times New Roman"/>
          <w:kern w:val="0"/>
          <w:sz w:val="24"/>
          <w14:ligatures w14:val="none"/>
        </w:rPr>
        <w:t>spindlenormalized</w:t>
      </w:r>
      <w:proofErr w:type="spellEnd"/>
      <w:r w:rsidRPr="002E470D">
        <w:rPr>
          <w:rFonts w:ascii="Times New Roman" w:eastAsia="宋体" w:hAnsi="Times New Roman" w:cs="Times New Roman"/>
          <w:kern w:val="0"/>
          <w:sz w:val="24"/>
          <w14:ligatures w14:val="none"/>
        </w:rPr>
        <w:t xml:space="preserve"> enrichment score [NES]=1.64). Predictive performance is stable (1-, 3-, 5-year area under the curve [AUC]: 0.72, 0.68, 0.65). The score is independently cohort validated to its association with aggressive histologic subtypes. The findings offer a clinically applicable risk stratification tool for lipid metabolism and patient proof for considering the PPARG/CD36 axis as a therapeutic target in </w:t>
      </w:r>
      <w:proofErr w:type="gramStart"/>
      <w:r w:rsidRPr="002E470D">
        <w:rPr>
          <w:rFonts w:ascii="Times New Roman" w:eastAsia="宋体" w:hAnsi="Times New Roman" w:cs="Times New Roman"/>
          <w:kern w:val="0"/>
          <w:sz w:val="24"/>
          <w14:ligatures w14:val="none"/>
        </w:rPr>
        <w:t>DDLPS..</w:t>
      </w:r>
      <w:proofErr w:type="gramEnd"/>
    </w:p>
    <w:p w14:paraId="774A1E47"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41C6B6CE" w14:textId="77777777"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bookmarkStart w:id="2" w:name="OLE_LINK15"/>
      <w:r w:rsidRPr="002E470D">
        <w:rPr>
          <w:rFonts w:ascii="Times New Roman" w:eastAsia="宋体" w:hAnsi="Times New Roman" w:cs="Times New Roman"/>
          <w:b/>
          <w:bCs/>
          <w:kern w:val="0"/>
          <w:sz w:val="24"/>
          <w14:ligatures w14:val="none"/>
        </w:rPr>
        <w:t>Highlights</w:t>
      </w:r>
    </w:p>
    <w:p w14:paraId="7F5FDFF6" w14:textId="77777777"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The six gene lipid metabolism score is an independent predictor of high risk DDLPS patients that </w:t>
      </w:r>
      <w:proofErr w:type="gramStart"/>
      <w:r w:rsidRPr="002E470D">
        <w:rPr>
          <w:rFonts w:ascii="Times New Roman" w:eastAsia="宋体" w:hAnsi="Times New Roman" w:cs="Times New Roman"/>
          <w:kern w:val="0"/>
          <w:sz w:val="24"/>
          <w14:ligatures w14:val="none"/>
        </w:rPr>
        <w:t>is</w:t>
      </w:r>
      <w:proofErr w:type="gramEnd"/>
      <w:r w:rsidRPr="002E470D">
        <w:rPr>
          <w:rFonts w:ascii="Times New Roman" w:eastAsia="宋体" w:hAnsi="Times New Roman" w:cs="Times New Roman"/>
          <w:kern w:val="0"/>
          <w:sz w:val="24"/>
          <w14:ligatures w14:val="none"/>
        </w:rPr>
        <w:t xml:space="preserve"> stable (AUC 0.65 0.72).</w:t>
      </w:r>
    </w:p>
    <w:p w14:paraId="1C1FEC7C" w14:textId="77777777"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The score shows a male specific prognostic axis in DDLPS with high score males having </w:t>
      </w:r>
      <w:proofErr w:type="spellStart"/>
      <w:proofErr w:type="gramStart"/>
      <w:r w:rsidRPr="002E470D">
        <w:rPr>
          <w:rFonts w:ascii="Times New Roman" w:eastAsia="宋体" w:hAnsi="Times New Roman" w:cs="Times New Roman"/>
          <w:kern w:val="0"/>
          <w:sz w:val="24"/>
          <w14:ligatures w14:val="none"/>
        </w:rPr>
        <w:t>a</w:t>
      </w:r>
      <w:proofErr w:type="spellEnd"/>
      <w:proofErr w:type="gramEnd"/>
      <w:r w:rsidRPr="002E470D">
        <w:rPr>
          <w:rFonts w:ascii="Times New Roman" w:eastAsia="宋体" w:hAnsi="Times New Roman" w:cs="Times New Roman"/>
          <w:kern w:val="0"/>
          <w:sz w:val="24"/>
          <w14:ligatures w14:val="none"/>
        </w:rPr>
        <w:t xml:space="preserve"> increased risk of death by </w:t>
      </w:r>
      <w:proofErr w:type="gramStart"/>
      <w:r w:rsidRPr="002E470D">
        <w:rPr>
          <w:rFonts w:ascii="Times New Roman" w:eastAsia="宋体" w:hAnsi="Times New Roman" w:cs="Times New Roman"/>
          <w:kern w:val="0"/>
          <w:sz w:val="24"/>
          <w14:ligatures w14:val="none"/>
        </w:rPr>
        <w:t>5.83 fold</w:t>
      </w:r>
      <w:proofErr w:type="gramEnd"/>
      <w:r w:rsidRPr="002E470D">
        <w:rPr>
          <w:rFonts w:ascii="Times New Roman" w:eastAsia="宋体" w:hAnsi="Times New Roman" w:cs="Times New Roman"/>
          <w:kern w:val="0"/>
          <w:sz w:val="24"/>
          <w14:ligatures w14:val="none"/>
        </w:rPr>
        <w:t>.</w:t>
      </w:r>
    </w:p>
    <w:p w14:paraId="0FC01E4D" w14:textId="77777777"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The score is an indicator of activation of the PPARG/CD36 pathway and represents a dual phenotype of cell cycle activation and immune suppression.</w:t>
      </w:r>
    </w:p>
    <w:p w14:paraId="019F8D84" w14:textId="77777777" w:rsidR="00F6304C" w:rsidRPr="002E470D" w:rsidRDefault="00F6304C" w:rsidP="00C505B2">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p>
    <w:p w14:paraId="58572DDD" w14:textId="20914F65"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Introduction</w:t>
      </w:r>
    </w:p>
    <w:p w14:paraId="3047FADE" w14:textId="77777777" w:rsidR="00C505B2" w:rsidRPr="002E470D" w:rsidRDefault="00C505B2" w:rsidP="00C505B2">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lastRenderedPageBreak/>
        <w:t xml:space="preserve">  </w:t>
      </w:r>
      <w:r w:rsidRPr="002E470D">
        <w:rPr>
          <w:rFonts w:ascii="Times New Roman" w:eastAsia="宋体" w:hAnsi="Times New Roman" w:cs="Times New Roman"/>
          <w:kern w:val="0"/>
          <w:sz w:val="24"/>
          <w14:ligatures w14:val="none"/>
        </w:rPr>
        <w:t xml:space="preserve">Although with improvements in surgical, radiotherapy and chemotherapy, the prognosis of patients with advanced or recurrent DDLPS is still poor with </w:t>
      </w:r>
      <w:proofErr w:type="gramStart"/>
      <w:r w:rsidRPr="002E470D">
        <w:rPr>
          <w:rFonts w:ascii="Times New Roman" w:eastAsia="宋体" w:hAnsi="Times New Roman" w:cs="Times New Roman"/>
          <w:kern w:val="0"/>
          <w:sz w:val="24"/>
          <w14:ligatures w14:val="none"/>
        </w:rPr>
        <w:t>5 year</w:t>
      </w:r>
      <w:proofErr w:type="gramEnd"/>
      <w:r w:rsidRPr="002E470D">
        <w:rPr>
          <w:rFonts w:ascii="Times New Roman" w:eastAsia="宋体" w:hAnsi="Times New Roman" w:cs="Times New Roman"/>
          <w:kern w:val="0"/>
          <w:sz w:val="24"/>
          <w14:ligatures w14:val="none"/>
        </w:rPr>
        <w:t xml:space="preserve"> survival rate less than 30% (3,4), DDLPS is the most aggressive form of liposarcoma, with the highest rates of recurrence and metastasis (1,2). Presently, existing prognostic tools are clinicopathological (e.g. </w:t>
      </w:r>
      <w:proofErr w:type="spellStart"/>
      <w:r w:rsidRPr="002E470D">
        <w:rPr>
          <w:rFonts w:ascii="Times New Roman" w:eastAsia="宋体" w:hAnsi="Times New Roman" w:cs="Times New Roman"/>
          <w:kern w:val="0"/>
          <w:sz w:val="24"/>
          <w14:ligatures w14:val="none"/>
        </w:rPr>
        <w:t>tumour</w:t>
      </w:r>
      <w:proofErr w:type="spellEnd"/>
      <w:r w:rsidRPr="002E470D">
        <w:rPr>
          <w:rFonts w:ascii="Times New Roman" w:eastAsia="宋体" w:hAnsi="Times New Roman" w:cs="Times New Roman"/>
          <w:kern w:val="0"/>
          <w:sz w:val="24"/>
          <w14:ligatures w14:val="none"/>
        </w:rPr>
        <w:t xml:space="preserve"> size, grade, stage) and are only moderately accurate (AUC &lt;0.65) and still have no molecular basis (5,6,14). Thus, there is a great need for prognostic biomarkers having well-defined molecular mechanisms. </w:t>
      </w:r>
    </w:p>
    <w:bookmarkEnd w:id="2"/>
    <w:p w14:paraId="32F8BD0E" w14:textId="77777777" w:rsidR="00C505B2" w:rsidRPr="002E470D" w:rsidRDefault="00C505B2" w:rsidP="00C505B2">
      <w:pPr>
        <w:keepLines/>
        <w:widowControl/>
        <w:suppressAutoHyphens/>
        <w:kinsoku w:val="0"/>
        <w:spacing w:before="120" w:after="120" w:line="240" w:lineRule="auto"/>
        <w:ind w:firstLine="480"/>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Lipid metabolism reprogramming has been identified as a hallmark of cancer and has key functions in biosynthesis of membranes, accumulation of energy, and signaling (7–9). Its significance in DDLPS, however, has not yet been explored. Although there is strong experimental evidence to support a role for the PPARγ/CD36 axis in promoting the progression of the liposarcoma via metabolic reprogramming of tumor associated macrophages (10-12), the clinical relevance of the axis in patient DDLPS tissues has not been tested. Meanwhile, the available prognostic factors are entirely based on clinicopathological parameters and there is no molecular basis, and the effect of sex on prognosis of DDLPS is not systematically explored (13,14).</w:t>
      </w:r>
    </w:p>
    <w:p w14:paraId="70ADABF3" w14:textId="0B7992F0" w:rsidR="00CE3857" w:rsidRPr="002E470D" w:rsidRDefault="00C505B2" w:rsidP="00C505B2">
      <w:pPr>
        <w:keepLines/>
        <w:widowControl/>
        <w:suppressAutoHyphens/>
        <w:kinsoku w:val="0"/>
        <w:spacing w:before="120" w:after="120" w:line="240" w:lineRule="auto"/>
        <w:ind w:firstLine="480"/>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The present study was therefore aimed at filling these two gaps, establishing a quantifiable lipid metabolism score, validating its association with the activity of the PPARG/CD36 axis in patient tissues and testing its prognostic value in </w:t>
      </w:r>
      <w:proofErr w:type="gramStart"/>
      <w:r w:rsidRPr="002E470D">
        <w:rPr>
          <w:rFonts w:ascii="Times New Roman" w:eastAsia="宋体" w:hAnsi="Times New Roman" w:cs="Times New Roman"/>
          <w:kern w:val="0"/>
          <w:sz w:val="24"/>
          <w14:ligatures w14:val="none"/>
        </w:rPr>
        <w:t>a number of</w:t>
      </w:r>
      <w:proofErr w:type="gramEnd"/>
      <w:r w:rsidRPr="002E470D">
        <w:rPr>
          <w:rFonts w:ascii="Times New Roman" w:eastAsia="宋体" w:hAnsi="Times New Roman" w:cs="Times New Roman"/>
          <w:kern w:val="0"/>
          <w:sz w:val="24"/>
          <w14:ligatures w14:val="none"/>
        </w:rPr>
        <w:t xml:space="preserve"> independent cohorts.</w:t>
      </w:r>
    </w:p>
    <w:p w14:paraId="02C3633B" w14:textId="77777777" w:rsidR="00F6304C" w:rsidRPr="002E470D" w:rsidRDefault="00F6304C">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1AA6EF4" w14:textId="2F08E198" w:rsidR="00CE3857" w:rsidRPr="002E470D" w:rsidRDefault="00000000">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Materials and Methods</w:t>
      </w:r>
    </w:p>
    <w:p w14:paraId="126F7337"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82A2C62"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Human subjects</w:t>
      </w:r>
    </w:p>
    <w:p w14:paraId="24F55A95"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The RNA sequencing expression data and clinical information were downloaded from The Cancer Genome Atlas (TCGA) and the Gene Expression Omnibus (GEO; GSE21122 and GSE159659). In the TCGA cohort, there were 50 patients with DDLPS (33 male and 17 female) with an age of 61.5 years (median). The GEO cohorts included 158 (GSE21122) and 45 (GSE159659) patients. </w:t>
      </w:r>
      <w:proofErr w:type="spellStart"/>
      <w:r w:rsidRPr="002E470D">
        <w:rPr>
          <w:rFonts w:ascii="Times New Roman" w:eastAsia="宋体" w:hAnsi="Times New Roman" w:cs="Times New Roman"/>
          <w:kern w:val="0"/>
          <w:sz w:val="24"/>
          <w14:ligatures w14:val="none"/>
        </w:rPr>
        <w:t>voom</w:t>
      </w:r>
      <w:proofErr w:type="spellEnd"/>
      <w:r w:rsidRPr="002E470D">
        <w:rPr>
          <w:rFonts w:ascii="Times New Roman" w:eastAsia="宋体" w:hAnsi="Times New Roman" w:cs="Times New Roman"/>
          <w:kern w:val="0"/>
          <w:sz w:val="24"/>
          <w14:ligatures w14:val="none"/>
        </w:rPr>
        <w:t xml:space="preserve"> was used to normalize raw counts to log2 counts per million (log2CPM). Only those genes which are expressed in at least 20% of samples were retained. No </w:t>
      </w:r>
      <w:proofErr w:type="gramStart"/>
      <w:r w:rsidRPr="002E470D">
        <w:rPr>
          <w:rFonts w:ascii="Times New Roman" w:eastAsia="宋体" w:hAnsi="Times New Roman" w:cs="Times New Roman"/>
          <w:kern w:val="0"/>
          <w:sz w:val="24"/>
          <w14:ligatures w14:val="none"/>
        </w:rPr>
        <w:t>cross cohort</w:t>
      </w:r>
      <w:proofErr w:type="gramEnd"/>
      <w:r w:rsidRPr="002E470D">
        <w:rPr>
          <w:rFonts w:ascii="Times New Roman" w:eastAsia="宋体" w:hAnsi="Times New Roman" w:cs="Times New Roman"/>
          <w:kern w:val="0"/>
          <w:sz w:val="24"/>
          <w14:ligatures w14:val="none"/>
        </w:rPr>
        <w:t xml:space="preserve"> batch correction was performed as each cohort was </w:t>
      </w:r>
      <w:proofErr w:type="spellStart"/>
      <w:r w:rsidRPr="002E470D">
        <w:rPr>
          <w:rFonts w:ascii="Times New Roman" w:eastAsia="宋体" w:hAnsi="Times New Roman" w:cs="Times New Roman"/>
          <w:kern w:val="0"/>
          <w:sz w:val="24"/>
          <w14:ligatures w14:val="none"/>
        </w:rPr>
        <w:t>analysed</w:t>
      </w:r>
      <w:proofErr w:type="spellEnd"/>
      <w:r w:rsidRPr="002E470D">
        <w:rPr>
          <w:rFonts w:ascii="Times New Roman" w:eastAsia="宋体" w:hAnsi="Times New Roman" w:cs="Times New Roman"/>
          <w:kern w:val="0"/>
          <w:sz w:val="24"/>
          <w14:ligatures w14:val="none"/>
        </w:rPr>
        <w:t xml:space="preserve"> separately. A summary of the public transcriptomic cohorts, software tools and supplemental datasets produced in this study are presented in Table 1. Key Resources Table. In this retrospective analysis bioinformatic approach without the use of any antibody, cell lines, or commercial assays.</w:t>
      </w:r>
    </w:p>
    <w:p w14:paraId="73A0DBB2"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D192622"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The calculation of the lipid metabolism score.</w:t>
      </w:r>
    </w:p>
    <w:p w14:paraId="48D8EAE6"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The selected genes of lipid metabolism were FASN, ACLY, SCD, SREBF1, HMGCR and PPARG. In preliminary analysis (log2FC&gt;1 and adjusted p&lt;0.05), these genes were </w:t>
      </w:r>
      <w:proofErr w:type="gramStart"/>
      <w:r w:rsidRPr="002E470D">
        <w:rPr>
          <w:rFonts w:ascii="Times New Roman" w:eastAsia="宋体" w:hAnsi="Times New Roman" w:cs="Times New Roman"/>
          <w:kern w:val="0"/>
          <w:sz w:val="24"/>
          <w14:ligatures w14:val="none"/>
        </w:rPr>
        <w:t>significantly up</w:t>
      </w:r>
      <w:proofErr w:type="gramEnd"/>
      <w:r w:rsidRPr="002E470D">
        <w:rPr>
          <w:rFonts w:ascii="Times New Roman" w:eastAsia="宋体" w:hAnsi="Times New Roman" w:cs="Times New Roman"/>
          <w:kern w:val="0"/>
          <w:sz w:val="24"/>
          <w14:ligatures w14:val="none"/>
        </w:rPr>
        <w:t xml:space="preserve"> regulated in the high score group. Principal component analysis (PCA) of the log2CPM values of these six genes was used to create a lipid metabolism score. The score for the first principal component (which explained 48.6% of variance) was obtained. Patients were classified according to the median score.</w:t>
      </w:r>
    </w:p>
    <w:p w14:paraId="44B85FD5"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04145E4"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Differential expression analysis</w:t>
      </w:r>
    </w:p>
    <w:p w14:paraId="79A7EB45" w14:textId="13234207" w:rsidR="00CE3857"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The differential expression was analyzed by </w:t>
      </w:r>
      <w:proofErr w:type="spellStart"/>
      <w:r w:rsidRPr="002E470D">
        <w:rPr>
          <w:rFonts w:ascii="Times New Roman" w:eastAsia="宋体" w:hAnsi="Times New Roman" w:cs="Times New Roman"/>
          <w:kern w:val="0"/>
          <w:sz w:val="24"/>
          <w14:ligatures w14:val="none"/>
        </w:rPr>
        <w:t>limma</w:t>
      </w:r>
      <w:proofErr w:type="spellEnd"/>
      <w:r w:rsidRPr="002E470D">
        <w:rPr>
          <w:rFonts w:ascii="Times New Roman" w:eastAsia="宋体" w:hAnsi="Times New Roman" w:cs="Times New Roman"/>
          <w:kern w:val="0"/>
          <w:sz w:val="24"/>
          <w14:ligatures w14:val="none"/>
        </w:rPr>
        <w:t xml:space="preserve"> package (version 3.56.2) with Benjamini Hochberg correction. Significant threshold: log2FC&gt;1 and adjusted p&lt;0.05.</w:t>
      </w:r>
    </w:p>
    <w:p w14:paraId="4DE2F3D1"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24B59FD"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Gene set enrichment analysis (GSEA)</w:t>
      </w:r>
    </w:p>
    <w:p w14:paraId="4FC8452E"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The GSEA was carried out based on the gene sets in the </w:t>
      </w:r>
      <w:proofErr w:type="spellStart"/>
      <w:r w:rsidRPr="002E470D">
        <w:rPr>
          <w:rFonts w:ascii="Times New Roman" w:eastAsia="宋体" w:hAnsi="Times New Roman" w:cs="Times New Roman"/>
          <w:kern w:val="0"/>
          <w:sz w:val="24"/>
          <w14:ligatures w14:val="none"/>
        </w:rPr>
        <w:t>MSigDB</w:t>
      </w:r>
      <w:proofErr w:type="spellEnd"/>
      <w:r w:rsidRPr="002E470D">
        <w:rPr>
          <w:rFonts w:ascii="Times New Roman" w:eastAsia="宋体" w:hAnsi="Times New Roman" w:cs="Times New Roman"/>
          <w:kern w:val="0"/>
          <w:sz w:val="24"/>
          <w14:ligatures w14:val="none"/>
        </w:rPr>
        <w:t xml:space="preserve"> Hallmark gene set collection (v7.4) with the package </w:t>
      </w:r>
      <w:proofErr w:type="spellStart"/>
      <w:r w:rsidRPr="002E470D">
        <w:rPr>
          <w:rFonts w:ascii="Times New Roman" w:eastAsia="宋体" w:hAnsi="Times New Roman" w:cs="Times New Roman"/>
          <w:kern w:val="0"/>
          <w:sz w:val="24"/>
          <w14:ligatures w14:val="none"/>
        </w:rPr>
        <w:t>clusterProfiler</w:t>
      </w:r>
      <w:proofErr w:type="spellEnd"/>
      <w:r w:rsidRPr="002E470D">
        <w:rPr>
          <w:rFonts w:ascii="Times New Roman" w:eastAsia="宋体" w:hAnsi="Times New Roman" w:cs="Times New Roman"/>
          <w:kern w:val="0"/>
          <w:sz w:val="24"/>
          <w14:ligatures w14:val="none"/>
        </w:rPr>
        <w:t xml:space="preserve"> (20). Pathways with false discovery rate (FDR) &lt; 0.05 were deemed to be significantly different (1,000 permutations).</w:t>
      </w:r>
    </w:p>
    <w:p w14:paraId="5112E2BB"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C9104C9"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Immune infiltration analysis</w:t>
      </w:r>
    </w:p>
    <w:p w14:paraId="42717F97"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Immune cell infiltration scores were computed as the average expression of the cell type marker genes. The six types of immune cells were studied: CD8+ T cells, CD4+ T cells, regulatory T cells (Tregs), B cells, natural killer (NK) cells, and macrophages. Wilcoxon rank sum test with FDR correction was used for comparison of scores.</w:t>
      </w:r>
    </w:p>
    <w:p w14:paraId="1738A544"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328DA45"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The activity of transcription factors was inferred from the data.</w:t>
      </w:r>
    </w:p>
    <w:p w14:paraId="014A8E98"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proofErr w:type="spellStart"/>
      <w:r w:rsidRPr="002E470D">
        <w:rPr>
          <w:rFonts w:ascii="Times New Roman" w:eastAsia="宋体" w:hAnsi="Times New Roman" w:cs="Times New Roman"/>
          <w:kern w:val="0"/>
          <w:sz w:val="24"/>
          <w14:ligatures w14:val="none"/>
        </w:rPr>
        <w:t>DoRothEA</w:t>
      </w:r>
      <w:proofErr w:type="spellEnd"/>
      <w:r w:rsidRPr="002E470D">
        <w:rPr>
          <w:rFonts w:ascii="Times New Roman" w:eastAsia="宋体" w:hAnsi="Times New Roman" w:cs="Times New Roman"/>
          <w:kern w:val="0"/>
          <w:sz w:val="24"/>
          <w14:ligatures w14:val="none"/>
        </w:rPr>
        <w:t xml:space="preserve"> v1.0 was used to infer transcription factor (TF) activity (confidence levels A and B). The following 4 TFs were examined: PPARG, E2F1, MYC, and SREBF1.</w:t>
      </w:r>
    </w:p>
    <w:p w14:paraId="244D04B5"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39BA6308"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Drug sensitivity prediction</w:t>
      </w:r>
    </w:p>
    <w:p w14:paraId="5BB299C0" w14:textId="3E75EFA1" w:rsidR="00CE3857" w:rsidRPr="002E470D" w:rsidRDefault="008E11A2" w:rsidP="008E11A2">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Target gene expression was used to predict drug sensitivity. The fold change (FC = high score group mean / low score group mean) was determined for each drug target pair. Drugs that had FC &gt; 1.3 and p&lt;0.05 were classified as being preferentially active in high score patients and drugs with FC &lt; 0.77 and p&lt;0.05 were classified as being preferentially active in low score patients.</w:t>
      </w:r>
    </w:p>
    <w:p w14:paraId="0B3B4A6C" w14:textId="77777777" w:rsidR="008E11A2" w:rsidRPr="002E470D" w:rsidRDefault="008E11A2" w:rsidP="008E11A2">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07AD46AE"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Survival analysis, model evaluation</w:t>
      </w:r>
    </w:p>
    <w:p w14:paraId="1D7D2D92"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Overall survival (OS) was defined from diagnosis to death or last follow up. The Kaplan Meier curves were used along with log rank tests. The univariate and multivariate Cox proportional hazards models were used to assess the score, age, gender and </w:t>
      </w:r>
      <w:proofErr w:type="spellStart"/>
      <w:r w:rsidRPr="002E470D">
        <w:rPr>
          <w:rFonts w:ascii="Times New Roman" w:eastAsia="宋体" w:hAnsi="Times New Roman" w:cs="Times New Roman"/>
          <w:kern w:val="0"/>
          <w:sz w:val="24"/>
          <w14:ligatures w14:val="none"/>
        </w:rPr>
        <w:t>tumour</w:t>
      </w:r>
      <w:proofErr w:type="spellEnd"/>
      <w:r w:rsidRPr="002E470D">
        <w:rPr>
          <w:rFonts w:ascii="Times New Roman" w:eastAsia="宋体" w:hAnsi="Times New Roman" w:cs="Times New Roman"/>
          <w:kern w:val="0"/>
          <w:sz w:val="24"/>
          <w14:ligatures w14:val="none"/>
        </w:rPr>
        <w:t xml:space="preserve"> stage as prognostic factors. HR (95% CI) were reported. Time dependent ROC was performed using </w:t>
      </w:r>
      <w:proofErr w:type="spellStart"/>
      <w:r w:rsidRPr="002E470D">
        <w:rPr>
          <w:rFonts w:ascii="Times New Roman" w:eastAsia="宋体" w:hAnsi="Times New Roman" w:cs="Times New Roman"/>
          <w:kern w:val="0"/>
          <w:sz w:val="24"/>
          <w14:ligatures w14:val="none"/>
        </w:rPr>
        <w:t>timeROC</w:t>
      </w:r>
      <w:proofErr w:type="spellEnd"/>
      <w:r w:rsidRPr="002E470D">
        <w:rPr>
          <w:rFonts w:ascii="Times New Roman" w:eastAsia="宋体" w:hAnsi="Times New Roman" w:cs="Times New Roman"/>
          <w:kern w:val="0"/>
          <w:sz w:val="24"/>
          <w14:ligatures w14:val="none"/>
        </w:rPr>
        <w:t xml:space="preserve"> (</w:t>
      </w:r>
      <w:proofErr w:type="gramStart"/>
      <w:r w:rsidRPr="002E470D">
        <w:rPr>
          <w:rFonts w:ascii="Times New Roman" w:eastAsia="宋体" w:hAnsi="Times New Roman" w:cs="Times New Roman"/>
          <w:kern w:val="0"/>
          <w:sz w:val="24"/>
          <w14:ligatures w14:val="none"/>
        </w:rPr>
        <w:t>1 ,</w:t>
      </w:r>
      <w:proofErr w:type="gramEnd"/>
      <w:r w:rsidRPr="002E470D">
        <w:rPr>
          <w:rFonts w:ascii="Times New Roman" w:eastAsia="宋体" w:hAnsi="Times New Roman" w:cs="Times New Roman"/>
          <w:kern w:val="0"/>
          <w:sz w:val="24"/>
          <w14:ligatures w14:val="none"/>
        </w:rPr>
        <w:t xml:space="preserve"> </w:t>
      </w:r>
      <w:proofErr w:type="gramStart"/>
      <w:r w:rsidRPr="002E470D">
        <w:rPr>
          <w:rFonts w:ascii="Times New Roman" w:eastAsia="宋体" w:hAnsi="Times New Roman" w:cs="Times New Roman"/>
          <w:kern w:val="0"/>
          <w:sz w:val="24"/>
          <w14:ligatures w14:val="none"/>
        </w:rPr>
        <w:t>3 ,</w:t>
      </w:r>
      <w:proofErr w:type="gramEnd"/>
      <w:r w:rsidRPr="002E470D">
        <w:rPr>
          <w:rFonts w:ascii="Times New Roman" w:eastAsia="宋体" w:hAnsi="Times New Roman" w:cs="Times New Roman"/>
          <w:kern w:val="0"/>
          <w:sz w:val="24"/>
          <w14:ligatures w14:val="none"/>
        </w:rPr>
        <w:t xml:space="preserve"> 5 year) with 1000 bootstrap replicates.</w:t>
      </w:r>
    </w:p>
    <w:p w14:paraId="664A01E5"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p>
    <w:p w14:paraId="40378F73"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Sensitivity analysis</w:t>
      </w:r>
    </w:p>
    <w:p w14:paraId="2E86FFC7"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The following three sensitivity analyses were conducted: alternative cutoffs (30th 70th percentiles), alternative scoring methods (simple mean, median, weighted mean, PCA recalculation) and alternative sets of immune markers.</w:t>
      </w:r>
    </w:p>
    <w:p w14:paraId="0C0F3656"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p>
    <w:p w14:paraId="3EA427D5"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Explain the methods of quantification and statistical analysis.</w:t>
      </w:r>
    </w:p>
    <w:p w14:paraId="0D84D805" w14:textId="77777777" w:rsidR="00082167" w:rsidRPr="002E470D" w:rsidRDefault="00082167" w:rsidP="00082167">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Data were analyzed with R version 4.6.0. Wilcoxon rank sum test was used for continuous variables; chi square or Fisher's exact test for categorical variables; Spearman correlation for correlation analyses. </w:t>
      </w:r>
      <w:proofErr w:type="gramStart"/>
      <w:r w:rsidRPr="002E470D">
        <w:rPr>
          <w:rFonts w:ascii="Times New Roman" w:eastAsia="宋体" w:hAnsi="Times New Roman" w:cs="Times New Roman"/>
          <w:kern w:val="0"/>
          <w:sz w:val="24"/>
          <w14:ligatures w14:val="none"/>
        </w:rPr>
        <w:t>Two sided</w:t>
      </w:r>
      <w:proofErr w:type="gramEnd"/>
      <w:r w:rsidRPr="002E470D">
        <w:rPr>
          <w:rFonts w:ascii="Times New Roman" w:eastAsia="宋体" w:hAnsi="Times New Roman" w:cs="Times New Roman"/>
          <w:kern w:val="0"/>
          <w:sz w:val="24"/>
          <w14:ligatures w14:val="none"/>
        </w:rPr>
        <w:t xml:space="preserve"> p &lt; 0.05 was considered significant. Bonferroni correction for multiple comparisons performed by Benjamini FDR.</w:t>
      </w:r>
    </w:p>
    <w:p w14:paraId="07C31EB2" w14:textId="5AA881B5" w:rsidR="00CE3857" w:rsidRPr="002E470D" w:rsidRDefault="00000000" w:rsidP="00082167">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Results</w:t>
      </w:r>
    </w:p>
    <w:p w14:paraId="440D2396" w14:textId="57AC5F50" w:rsidR="00082167" w:rsidRPr="002E470D" w:rsidRDefault="00082167" w:rsidP="00082167">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 xml:space="preserve">Are there quantitative lipid metabolism signatures in DDLPS? </w:t>
      </w:r>
    </w:p>
    <w:p w14:paraId="471B0749" w14:textId="77777777" w:rsidR="00082167" w:rsidRPr="002E470D" w:rsidRDefault="00082167" w:rsidP="00082167">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We sought to evaluate if a measurable alteration of lipid metabolism is present in DDLPS by </w:t>
      </w:r>
      <w:proofErr w:type="spellStart"/>
      <w:r w:rsidRPr="002E470D">
        <w:rPr>
          <w:rFonts w:ascii="Times New Roman" w:eastAsia="宋体" w:hAnsi="Times New Roman" w:cs="Times New Roman"/>
          <w:kern w:val="0"/>
          <w:sz w:val="24"/>
          <w14:ligatures w14:val="none"/>
        </w:rPr>
        <w:t>analysing</w:t>
      </w:r>
      <w:proofErr w:type="spellEnd"/>
      <w:r w:rsidRPr="002E470D">
        <w:rPr>
          <w:rFonts w:ascii="Times New Roman" w:eastAsia="宋体" w:hAnsi="Times New Roman" w:cs="Times New Roman"/>
          <w:kern w:val="0"/>
          <w:sz w:val="24"/>
          <w14:ligatures w14:val="none"/>
        </w:rPr>
        <w:t xml:space="preserve"> transcriptomic data from two GEO cohorts and TCGA. The total number of patients included in the analysis was 253 liposarcoma patients from three independent datasets (Fig. 1A). The GSE21122 cohort contributed 158 (62.5%), TCGA 50 (19.8%), and GSE159659 45 (17.8%) (Fig. 1B). DDLPS was the most common subtype (n=61, 24.1%). The TCGA cohort consisted of 61.5 years old, median age with 66% male (Fig. 1C-E). At last follow up, 27 (54%) were alive and 23 (46%) had died (Fig. 1F).</w:t>
      </w:r>
    </w:p>
    <w:p w14:paraId="7B62E054" w14:textId="72F35488" w:rsidR="00CE3857" w:rsidRPr="002E470D" w:rsidRDefault="00082167" w:rsidP="00082167">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kern w:val="0"/>
          <w:sz w:val="24"/>
          <w14:ligatures w14:val="none"/>
        </w:rPr>
        <w:t xml:space="preserve">  The first principal component of six coordinately expressed genes (FASN, ACLY, SCD, SREBF1, HMGCR, PPARG) was used to calculate the lipid metabolism score which was significantly different between the subtypes. The maximum median score was achieved by DDLPS (Fig. 2A). The scores were shown to be similar (Fig. 2B) among all three cohorts. Interestingly, scores were significantly higher in males (p &lt; 0.05; Fig. 2C) and deceased patients (p &lt; 0.05; Fig. 2D). The score was found to be near normal with median ~5.2, range 3.9 8.5, and no correlation with age (Spearman R = 0.041, p = 0.78; Fig. 2F-H). Coordinated expression of the 6 genes was confirmed by heatmap (Fig. 2G). There was no correlation between </w:t>
      </w:r>
      <w:proofErr w:type="spellStart"/>
      <w:r w:rsidRPr="002E470D">
        <w:rPr>
          <w:rFonts w:ascii="Times New Roman" w:eastAsia="宋体" w:hAnsi="Times New Roman" w:cs="Times New Roman"/>
          <w:kern w:val="0"/>
          <w:sz w:val="24"/>
          <w14:ligatures w14:val="none"/>
        </w:rPr>
        <w:t>tumour</w:t>
      </w:r>
      <w:proofErr w:type="spellEnd"/>
      <w:r w:rsidRPr="002E470D">
        <w:rPr>
          <w:rFonts w:ascii="Times New Roman" w:eastAsia="宋体" w:hAnsi="Times New Roman" w:cs="Times New Roman"/>
          <w:kern w:val="0"/>
          <w:sz w:val="24"/>
          <w14:ligatures w14:val="none"/>
        </w:rPr>
        <w:t xml:space="preserve"> size and Fédération Nationale des </w:t>
      </w:r>
      <w:proofErr w:type="spellStart"/>
      <w:r w:rsidRPr="002E470D">
        <w:rPr>
          <w:rFonts w:ascii="Times New Roman" w:eastAsia="宋体" w:hAnsi="Times New Roman" w:cs="Times New Roman"/>
          <w:kern w:val="0"/>
          <w:sz w:val="24"/>
          <w14:ligatures w14:val="none"/>
        </w:rPr>
        <w:t>Centres</w:t>
      </w:r>
      <w:proofErr w:type="spellEnd"/>
      <w:r w:rsidRPr="002E470D">
        <w:rPr>
          <w:rFonts w:ascii="Times New Roman" w:eastAsia="宋体" w:hAnsi="Times New Roman" w:cs="Times New Roman"/>
          <w:kern w:val="0"/>
          <w:sz w:val="24"/>
          <w14:ligatures w14:val="none"/>
        </w:rPr>
        <w:t xml:space="preserve"> de Lutte Contre le Cancer (FNCLCC) grade (Fig. S2A and B). Table S2 contains the names of the six core genes.</w:t>
      </w:r>
    </w:p>
    <w:p w14:paraId="1EB358D6"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 xml:space="preserve">Does the score reflect patient's survival? </w:t>
      </w:r>
    </w:p>
    <w:p w14:paraId="6163D232"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High score patients had significantly poorer overall survival (OS), with an HR of 2.61 (1.07–6.36, log rank p = 0.031; Fig. 3A; Supplementary Fig. S4). Age stratified analysis did not show significant interaction and HRs were 2.98 (95% CI: 0.90–9.86, p = 0.073) in patients aged ≤60 years and 2.75 (95% CI: 0.74–10.23, p = 0.130) in patients aged &gt;60 years (Fig. 3B and C), indicating low age dependency of the score's prognostic value.</w:t>
      </w:r>
    </w:p>
    <w:p w14:paraId="2F6D8B5C"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Interestingly, the prognostic effect was sex specific. Among female patients (n = 17), no significant association was observed (HR = 0.62, 95% CI: 0.14–2.75, p = 0.510; Fig. 3D). In contrast, male patients (n = 33) showed a strong and highly significant effect (HR = 5.83, 95% CI: 1.55–21.95, p = 0.008; Fig. 3E). Multivariate Cox analysis showed that the score was an independent prognostic factor in males when adjusted for age and tumor stage (adjusted HR=5.61, p=0.011). This sex specific prognostic effect has not been previously reported in DDLPS. The prognostic stratification of the score was also confirmed by the Kaplan Meier survival curve (Supplementary Fig. S4).</w:t>
      </w:r>
    </w:p>
    <w:p w14:paraId="12403AE5"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bookmarkStart w:id="3" w:name="OLE_LINK3"/>
      <w:r w:rsidRPr="002E470D">
        <w:rPr>
          <w:rFonts w:ascii="Times New Roman" w:eastAsia="宋体" w:hAnsi="Times New Roman" w:cs="Times New Roman"/>
          <w:b/>
          <w:bCs/>
          <w:kern w:val="0"/>
          <w:sz w:val="24"/>
          <w14:ligatures w14:val="none"/>
        </w:rPr>
        <w:t xml:space="preserve">What are the molecular features of high score tumors? </w:t>
      </w:r>
    </w:p>
    <w:p w14:paraId="45201146"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 xml:space="preserve">We applied differential expression analysis to find out the </w:t>
      </w:r>
      <w:proofErr w:type="gramStart"/>
      <w:r w:rsidRPr="002E470D">
        <w:rPr>
          <w:rFonts w:ascii="Times New Roman" w:eastAsia="宋体" w:hAnsi="Times New Roman" w:cs="Times New Roman"/>
          <w:kern w:val="0"/>
          <w:sz w:val="24"/>
          <w14:ligatures w14:val="none"/>
        </w:rPr>
        <w:t>transcriptional</w:t>
      </w:r>
      <w:proofErr w:type="gramEnd"/>
      <w:r w:rsidRPr="002E470D">
        <w:rPr>
          <w:rFonts w:ascii="Times New Roman" w:eastAsia="宋体" w:hAnsi="Times New Roman" w:cs="Times New Roman"/>
          <w:kern w:val="0"/>
          <w:sz w:val="24"/>
          <w14:ligatures w14:val="none"/>
        </w:rPr>
        <w:t xml:space="preserve"> program underlying high score vs low score tumors. The 52 genes considered significantly up regulated and the 5 down regulated genes had a stringent threshold of log2FC &gt; 1 and an adjusted p &lt; 0.05 in the high score tumors (Fig. 4A). The core lipid metabolism genes were among the genes that were coordinately upregulated. These genes encompassed FASN, ACLY, SCD, SREBF1, HMGCR and PPARG. Among them, FASN showed the highest upregulation level, followed by ACLY (log2FC = 1.21) and SCD (log2FC = 1.15). These enzymes are </w:t>
      </w:r>
      <w:proofErr w:type="spellStart"/>
      <w:r w:rsidRPr="002E470D">
        <w:rPr>
          <w:rFonts w:ascii="Times New Roman" w:eastAsia="宋体" w:hAnsi="Times New Roman" w:cs="Times New Roman"/>
          <w:kern w:val="0"/>
          <w:sz w:val="24"/>
          <w14:ligatures w14:val="none"/>
        </w:rPr>
        <w:t>co-ordinated</w:t>
      </w:r>
      <w:proofErr w:type="spellEnd"/>
      <w:r w:rsidRPr="002E470D">
        <w:rPr>
          <w:rFonts w:ascii="Times New Roman" w:eastAsia="宋体" w:hAnsi="Times New Roman" w:cs="Times New Roman"/>
          <w:kern w:val="0"/>
          <w:sz w:val="24"/>
          <w14:ligatures w14:val="none"/>
        </w:rPr>
        <w:t xml:space="preserve"> upregulations, implying that these enzymes do not act as a random set of transcriptional changes.</w:t>
      </w:r>
    </w:p>
    <w:p w14:paraId="7A43791A"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When all the differentially expressed genes were used for hierarchical clustering, a clear separation of the high and low score samples was observed (Fig. 4B), indicating that the lipid metabolism score reflects a specific and coherent transcriptional program. The volcano plot (with an added GSEA barcode) provided a preliminary visualization of the two clusters, with the majority of genes related to the cell cycle being enriched in the high expression region and genes related to the immune system being enriched in the low expression region (Supplementary Fig. S1), suggesting two opposite tumor phenotypes for high score tumors.</w:t>
      </w:r>
    </w:p>
    <w:p w14:paraId="6AD30AF2"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These were further confirmed by the KEGG pathway enrichment analysis, which showed that the up regulated genes were enriched in lipid metabolism, fatty acid metabolism, cholesterol metabolism, and PPAR signaling pathways. GSEA found enrichment of lipid metabolism pathways independently (NES = 1.52, FDR = 0.012), which was convergent evidence that the score is a faithful indicator of level of pathway metabolic activation. All genes that were found to be differentially expressed are presented in Table S1.</w:t>
      </w:r>
    </w:p>
    <w:bookmarkEnd w:id="3"/>
    <w:p w14:paraId="73B3252C"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Is there a particular pathway signaling phenotype in high score tumors?</w:t>
      </w:r>
    </w:p>
    <w:p w14:paraId="3AA60717"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lastRenderedPageBreak/>
        <w:t xml:space="preserve">  </w:t>
      </w:r>
      <w:r w:rsidRPr="002E470D">
        <w:rPr>
          <w:rFonts w:ascii="Times New Roman" w:eastAsia="宋体" w:hAnsi="Times New Roman" w:cs="Times New Roman"/>
          <w:kern w:val="0"/>
          <w:sz w:val="24"/>
          <w14:ligatures w14:val="none"/>
        </w:rPr>
        <w:t xml:space="preserve">The GSEA analysis was performed against the </w:t>
      </w:r>
      <w:proofErr w:type="spellStart"/>
      <w:r w:rsidRPr="002E470D">
        <w:rPr>
          <w:rFonts w:ascii="Times New Roman" w:eastAsia="宋体" w:hAnsi="Times New Roman" w:cs="Times New Roman"/>
          <w:kern w:val="0"/>
          <w:sz w:val="24"/>
          <w14:ligatures w14:val="none"/>
        </w:rPr>
        <w:t>MSigDB</w:t>
      </w:r>
      <w:proofErr w:type="spellEnd"/>
      <w:r w:rsidRPr="002E470D">
        <w:rPr>
          <w:rFonts w:ascii="Times New Roman" w:eastAsia="宋体" w:hAnsi="Times New Roman" w:cs="Times New Roman"/>
          <w:kern w:val="0"/>
          <w:sz w:val="24"/>
          <w14:ligatures w14:val="none"/>
        </w:rPr>
        <w:t xml:space="preserve"> Hallmark gene sets, showing a remarkable dual phenotypic signature which distinguished high score tumors from low score tumors. High score tumors had significant enrichment of cell cycle related pathways, such as </w:t>
      </w:r>
      <w:proofErr w:type="spellStart"/>
      <w:r w:rsidRPr="002E470D">
        <w:rPr>
          <w:rFonts w:ascii="Times New Roman" w:eastAsia="宋体" w:hAnsi="Times New Roman" w:cs="Times New Roman"/>
          <w:kern w:val="0"/>
          <w:sz w:val="24"/>
          <w14:ligatures w14:val="none"/>
        </w:rPr>
        <w:t>Mitotic_Spindle</w:t>
      </w:r>
      <w:proofErr w:type="spellEnd"/>
      <w:r w:rsidRPr="002E470D">
        <w:rPr>
          <w:rFonts w:ascii="Times New Roman" w:eastAsia="宋体" w:hAnsi="Times New Roman" w:cs="Times New Roman"/>
          <w:kern w:val="0"/>
          <w:sz w:val="24"/>
          <w14:ligatures w14:val="none"/>
        </w:rPr>
        <w:t xml:space="preserve"> (NES = 1.64, FDR &lt; 0.05), G2m_Checkpoint (NES = 1.58), E2f_Targets (NES = 1.57), Myc_Targets_V1, and Mtorc1_Signaling (Fig. 4C E). The concerted triggering of pathways involved in cell proliferation is indicative of the fact that increased lipid metabolism supplies membrane components, energy sources and signaling molecules required for quick cell proliferation. A further implication of oncogenic transcription factor networks in driving this proliferative phenotype comes from the enrichment of E2F and MYC target genes.</w:t>
      </w:r>
    </w:p>
    <w:p w14:paraId="0E6ACBCF"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In contrast, high score </w:t>
      </w:r>
      <w:proofErr w:type="spellStart"/>
      <w:r w:rsidRPr="002E470D">
        <w:rPr>
          <w:rFonts w:ascii="Times New Roman" w:eastAsia="宋体" w:hAnsi="Times New Roman" w:cs="Times New Roman"/>
          <w:kern w:val="0"/>
          <w:sz w:val="24"/>
          <w14:ligatures w14:val="none"/>
        </w:rPr>
        <w:t>tumours</w:t>
      </w:r>
      <w:proofErr w:type="spellEnd"/>
      <w:r w:rsidRPr="002E470D">
        <w:rPr>
          <w:rFonts w:ascii="Times New Roman" w:eastAsia="宋体" w:hAnsi="Times New Roman" w:cs="Times New Roman"/>
          <w:kern w:val="0"/>
          <w:sz w:val="24"/>
          <w14:ligatures w14:val="none"/>
        </w:rPr>
        <w:t xml:space="preserve"> showed strong downregulation of immune related pathways. The interferon gamma response pathway was the most dramatically down-regulated pathway (NES = −1.82, FDR &lt; 0.05), followed by </w:t>
      </w:r>
      <w:proofErr w:type="spellStart"/>
      <w:r w:rsidRPr="002E470D">
        <w:rPr>
          <w:rFonts w:ascii="Times New Roman" w:eastAsia="宋体" w:hAnsi="Times New Roman" w:cs="Times New Roman"/>
          <w:kern w:val="0"/>
          <w:sz w:val="24"/>
          <w14:ligatures w14:val="none"/>
        </w:rPr>
        <w:t>inflammatory_response</w:t>
      </w:r>
      <w:proofErr w:type="spellEnd"/>
      <w:r w:rsidRPr="002E470D">
        <w:rPr>
          <w:rFonts w:ascii="Times New Roman" w:eastAsia="宋体" w:hAnsi="Times New Roman" w:cs="Times New Roman"/>
          <w:kern w:val="0"/>
          <w:sz w:val="24"/>
          <w14:ligatures w14:val="none"/>
        </w:rPr>
        <w:t xml:space="preserve"> (NES = −1.76), il6_jak_stat3_signaling (NES = −1.68), and </w:t>
      </w:r>
      <w:proofErr w:type="spellStart"/>
      <w:r w:rsidRPr="002E470D">
        <w:rPr>
          <w:rFonts w:ascii="Times New Roman" w:eastAsia="宋体" w:hAnsi="Times New Roman" w:cs="Times New Roman"/>
          <w:kern w:val="0"/>
          <w:sz w:val="24"/>
          <w14:ligatures w14:val="none"/>
        </w:rPr>
        <w:t>tnf_signaling_via_nfkb</w:t>
      </w:r>
      <w:proofErr w:type="spellEnd"/>
      <w:r w:rsidRPr="002E470D">
        <w:rPr>
          <w:rFonts w:ascii="Times New Roman" w:eastAsia="宋体" w:hAnsi="Times New Roman" w:cs="Times New Roman"/>
          <w:kern w:val="0"/>
          <w:sz w:val="24"/>
          <w14:ligatures w14:val="none"/>
        </w:rPr>
        <w:t xml:space="preserve"> (NES = −1.59) (Fig. 4H). This immune suppressive signature is especially significant given the possibility that, through metabolic competition in the tumor microenvironment or direct immune evasion mechanisms, high lipid metabolism could actively support immune evasion processes directly or indirectly.</w:t>
      </w:r>
    </w:p>
    <w:p w14:paraId="3353D651"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These GSEA results were multi-faceted validated with complementary visualization methods. The pathway network analysis (Supplementary Fig. S2C) was used to identify that the pathways were interlinked and showed that there was </w:t>
      </w:r>
      <w:proofErr w:type="spellStart"/>
      <w:r w:rsidRPr="002E470D">
        <w:rPr>
          <w:rFonts w:ascii="Times New Roman" w:eastAsia="宋体" w:hAnsi="Times New Roman" w:cs="Times New Roman"/>
          <w:kern w:val="0"/>
          <w:sz w:val="24"/>
          <w14:ligatures w14:val="none"/>
        </w:rPr>
        <w:t>co-ordinated</w:t>
      </w:r>
      <w:proofErr w:type="spellEnd"/>
      <w:r w:rsidRPr="002E470D">
        <w:rPr>
          <w:rFonts w:ascii="Times New Roman" w:eastAsia="宋体" w:hAnsi="Times New Roman" w:cs="Times New Roman"/>
          <w:kern w:val="0"/>
          <w:sz w:val="24"/>
          <w14:ligatures w14:val="none"/>
        </w:rPr>
        <w:t xml:space="preserve"> activation of pathways, rather than isolated perturbations. The forest plot of top pathways (Supplementary Fig. S2D) gave an overview of pathway level effect sizes and the ridge plots of up and down regulated pathways (Supplementary Fig. S2E and F) showed the enrichment score distribution across individual pathways. The overall results lead to the dual phenotype model. This model incorporates the activation of cell cycles and immune </w:t>
      </w:r>
      <w:proofErr w:type="gramStart"/>
      <w:r w:rsidRPr="002E470D">
        <w:rPr>
          <w:rFonts w:ascii="Times New Roman" w:eastAsia="宋体" w:hAnsi="Times New Roman" w:cs="Times New Roman"/>
          <w:kern w:val="0"/>
          <w:sz w:val="24"/>
          <w14:ligatures w14:val="none"/>
        </w:rPr>
        <w:t>suppression, and</w:t>
      </w:r>
      <w:proofErr w:type="gramEnd"/>
      <w:r w:rsidRPr="002E470D">
        <w:rPr>
          <w:rFonts w:ascii="Times New Roman" w:eastAsia="宋体" w:hAnsi="Times New Roman" w:cs="Times New Roman"/>
          <w:kern w:val="0"/>
          <w:sz w:val="24"/>
          <w14:ligatures w14:val="none"/>
        </w:rPr>
        <w:t xml:space="preserve"> builds a mechanistic model to explain the high score and aggressive properties of tumors. Table S3 shows all 36 Hallmark pathways that are significantly enriched.</w:t>
      </w:r>
    </w:p>
    <w:p w14:paraId="7B7DD71E"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 xml:space="preserve">Does the molecular basis for the score lie in the PPARG/CD36 axis? </w:t>
      </w:r>
    </w:p>
    <w:p w14:paraId="25B284E6"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The PPARG gene is in the middle of the 6-gene signature and has known regulatory links with lipid metabolism. In line with this, relevant experiments have confirmed that PPARG promotes the progression of liposarcoma by re-programming the metabolism through the mTORC2 pathway (9). Based on this, we also confirmed the PPARG/CD36 axis as the molecular mechanism of our lipid metabolism score.</w:t>
      </w:r>
    </w:p>
    <w:p w14:paraId="4CA12DB7"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  The expression of PPARG and CD36 was significantly higher in high score patients than in low score patients. The p values were 0.004 and 0.006 respectively (Fig. 5A–5B). These are all core pathway molecules that are transcriptionally upregulated and are stable features of high score </w:t>
      </w:r>
      <w:proofErr w:type="spellStart"/>
      <w:r w:rsidRPr="002E470D">
        <w:rPr>
          <w:rFonts w:ascii="Times New Roman" w:eastAsia="宋体" w:hAnsi="Times New Roman" w:cs="Times New Roman"/>
          <w:kern w:val="0"/>
          <w:sz w:val="24"/>
          <w14:ligatures w14:val="none"/>
        </w:rPr>
        <w:t>tumours</w:t>
      </w:r>
      <w:proofErr w:type="spellEnd"/>
      <w:r w:rsidRPr="002E470D">
        <w:rPr>
          <w:rFonts w:ascii="Times New Roman" w:eastAsia="宋体" w:hAnsi="Times New Roman" w:cs="Times New Roman"/>
          <w:kern w:val="0"/>
          <w:sz w:val="24"/>
          <w14:ligatures w14:val="none"/>
        </w:rPr>
        <w:t>.</w:t>
      </w:r>
    </w:p>
    <w:p w14:paraId="5E63AE3B"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The gene PPARG showed strong positive correlation with lipid metabolism score (Spearman R = 0.62, p =1.2× 10⁻⁶; Fig. 5C) and gene CD36 showed strong positive correlation with lipid metabolism score (Spearman R = 0.58, p = 8.4 × 10⁻⁶; Fig. 5D). The strong correlations indicate that the score could be used as an effective surrogate in patient tissue for PPARG/CD36 axis </w:t>
      </w:r>
      <w:proofErr w:type="spellStart"/>
      <w:proofErr w:type="gramStart"/>
      <w:r w:rsidRPr="002E470D">
        <w:rPr>
          <w:rFonts w:ascii="Times New Roman" w:eastAsia="宋体" w:hAnsi="Times New Roman" w:cs="Times New Roman"/>
          <w:kern w:val="0"/>
          <w:sz w:val="24"/>
          <w14:ligatures w14:val="none"/>
        </w:rPr>
        <w:t>activity.Survival</w:t>
      </w:r>
      <w:proofErr w:type="spellEnd"/>
      <w:proofErr w:type="gramEnd"/>
      <w:r w:rsidRPr="002E470D">
        <w:rPr>
          <w:rFonts w:ascii="Times New Roman" w:eastAsia="宋体" w:hAnsi="Times New Roman" w:cs="Times New Roman"/>
          <w:kern w:val="0"/>
          <w:sz w:val="24"/>
          <w14:ligatures w14:val="none"/>
        </w:rPr>
        <w:t xml:space="preserve"> analysis was also used to confirm the prognostic value of PPARG. Patients with high expression of PPARG had significant poorer overall survival than patients with low PPARG expression (log rank p = 0.019; Fig. 5E), consistent with what was found with the composite lipid metabolism score. The core gene heatmap revealed the strong expression correlation between the selected genes: PPARG, CD36, FASN, ACLY, SCD and SREBF1 and clearly separated patients with high from low score (Fig. 5F). We combined the expression levels of PPARG and CD36 into an integrated score by normalizing their expression levels. The PPARG+CD36 ROC curve had an AUC of 0.71 (Fig. 5G), illustrating that </w:t>
      </w:r>
      <w:proofErr w:type="gramStart"/>
      <w:r w:rsidRPr="002E470D">
        <w:rPr>
          <w:rFonts w:ascii="Times New Roman" w:eastAsia="宋体" w:hAnsi="Times New Roman" w:cs="Times New Roman"/>
          <w:kern w:val="0"/>
          <w:sz w:val="24"/>
          <w14:ligatures w14:val="none"/>
        </w:rPr>
        <w:t>both of these</w:t>
      </w:r>
      <w:proofErr w:type="gramEnd"/>
      <w:r w:rsidRPr="002E470D">
        <w:rPr>
          <w:rFonts w:ascii="Times New Roman" w:eastAsia="宋体" w:hAnsi="Times New Roman" w:cs="Times New Roman"/>
          <w:kern w:val="0"/>
          <w:sz w:val="24"/>
          <w14:ligatures w14:val="none"/>
        </w:rPr>
        <w:t xml:space="preserve"> genes carry a significant amount of the prognostic information in the six gene signature. Finally, a high individual patient level correlation of PPARG and CD36 (Spearman R = 0.58; p &lt; 0.001; Fig. 5H) confirmed their functional interdependence.</w:t>
      </w:r>
    </w:p>
    <w:p w14:paraId="431E4380" w14:textId="77777777" w:rsidR="00C43604" w:rsidRPr="002E470D" w:rsidRDefault="00C43604" w:rsidP="00C43604">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We also validated the biological relevance of the lipid score by analyzing its distribution in two independent GEO cohorts by histologic subtype. The score was significantly higher in DDLPS than in WDLPS and in normal adipose tissue (p &lt; 0.05 for both comparisons; Supplementary Fig. S7A) in GSE159659 (n = 45). In GSE21122 (n=158), the score was also found to be significantly different among the various sarcoma subtypes with DDLPS having the highest score, followed by leiomyosarcoma (LMS), myxofibrosarcoma (MF), and normal fat controls (ANOVA overall p &lt;0.05; Supplementary Fig. S7B). These strong relationships across independent samples corroborate our findings and suggest they are generalizable because of the consistency of these relationships across the samples. Together, these results support the hypothesis that the lipid metabolism score is a measure of the activation of the lipid metabolism pathway PPARG/CD36, as our companion study has functionally demonstrated to be a driver of liposarcoma aggressiveness (10).</w:t>
      </w:r>
    </w:p>
    <w:p w14:paraId="231C36C2" w14:textId="77777777" w:rsidR="009D3FE0" w:rsidRPr="002E470D" w:rsidRDefault="009D3FE0" w:rsidP="009D3FE0">
      <w:pPr>
        <w:keepLines/>
        <w:widowControl/>
        <w:suppressAutoHyphens/>
        <w:kinsoku w:val="0"/>
        <w:spacing w:before="288" w:after="72" w:line="240" w:lineRule="auto"/>
        <w:jc w:val="both"/>
        <w:outlineLvl w:val="2"/>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Is there immune suppression which is due to reduced infiltration or functional impairment?</w:t>
      </w:r>
    </w:p>
    <w:p w14:paraId="0C6D8899" w14:textId="77777777" w:rsidR="009D3FE0" w:rsidRPr="002E470D" w:rsidRDefault="009D3FE0" w:rsidP="009D3FE0">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lastRenderedPageBreak/>
        <w:t xml:space="preserve">  </w:t>
      </w:r>
      <w:r w:rsidRPr="002E470D">
        <w:rPr>
          <w:rFonts w:ascii="Times New Roman" w:eastAsia="宋体" w:hAnsi="Times New Roman" w:cs="Times New Roman"/>
          <w:kern w:val="0"/>
          <w:sz w:val="24"/>
          <w14:ligatures w14:val="none"/>
        </w:rPr>
        <w:t xml:space="preserve">To assess whether the observed immune pathway suppression in high score tumors was due to changes in the abundance of immune cells or due to functional changes, we systematically </w:t>
      </w:r>
      <w:proofErr w:type="spellStart"/>
      <w:r w:rsidRPr="002E470D">
        <w:rPr>
          <w:rFonts w:ascii="Times New Roman" w:eastAsia="宋体" w:hAnsi="Times New Roman" w:cs="Times New Roman"/>
          <w:kern w:val="0"/>
          <w:sz w:val="24"/>
          <w14:ligatures w14:val="none"/>
        </w:rPr>
        <w:t>analysed</w:t>
      </w:r>
      <w:proofErr w:type="spellEnd"/>
      <w:r w:rsidRPr="002E470D">
        <w:rPr>
          <w:rFonts w:ascii="Times New Roman" w:eastAsia="宋体" w:hAnsi="Times New Roman" w:cs="Times New Roman"/>
          <w:kern w:val="0"/>
          <w:sz w:val="24"/>
          <w14:ligatures w14:val="none"/>
        </w:rPr>
        <w:t xml:space="preserve"> immune infiltration in high score tumors using six cell type specific marker gene sets, corresponding to CD8+ T cells, CD4+ T cells, regulatory T cells (Tregs), B cells, natural killer (NK) cells and macrophages (Supplementary Fig. S3A). Immune scores were defined as the average expression of validated marker genes of each cell type. Interestingly, no significant difference in immune cell infiltration scores was found in high and low score groups for any of the six immune cell types analyzed (FDR &gt; 0.05 for all comparisons; Supplementary Fig. S3B). This was repeated with an independent set of immune marker genes, thus avoiding marker gene selection bias.</w:t>
      </w:r>
    </w:p>
    <w:p w14:paraId="65A329B0" w14:textId="77777777" w:rsidR="009D3FE0" w:rsidRPr="002E470D" w:rsidRDefault="009D3FE0" w:rsidP="009D3FE0">
      <w:pPr>
        <w:keepLines/>
        <w:widowControl/>
        <w:suppressAutoHyphens/>
        <w:kinsoku w:val="0"/>
        <w:spacing w:before="288" w:after="72" w:line="240" w:lineRule="auto"/>
        <w:jc w:val="both"/>
        <w:outlineLvl w:val="2"/>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Preserved immune cells in high score tumors in the setting of extremely low interferon gamma and inflammatory response pathways suggest that there is an immune dysfunction rather than immune exclusion. Importantly, this distinction has therapeutic implications as tumors with numerous but ineffective immune cells may be more susceptible to immune reactivation strategies, while immune excluded tumors will need other therapeutic methods to overcome physical barriers to immune infiltration. The lack of an immune infiltration difference suggests that the lipid metabolism score may be mainly related to the intrinsic characteristics of the tumor cell and to the functional alterations of the immune cell, i.e., to metabolic reprogramming, and not to the immune microenvironmental composition.</w:t>
      </w:r>
    </w:p>
    <w:p w14:paraId="64A1B12D" w14:textId="39480512" w:rsidR="00CB37DB" w:rsidRPr="002E470D" w:rsidRDefault="00CB37DB" w:rsidP="00CB37DB">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 xml:space="preserve">Does the score provide </w:t>
      </w:r>
      <w:proofErr w:type="gramStart"/>
      <w:r w:rsidRPr="002E470D">
        <w:rPr>
          <w:rFonts w:ascii="Times New Roman" w:eastAsia="宋体" w:hAnsi="Times New Roman" w:cs="Times New Roman"/>
          <w:b/>
          <w:bCs/>
          <w:kern w:val="0"/>
          <w:sz w:val="24"/>
          <w14:ligatures w14:val="none"/>
        </w:rPr>
        <w:t>a clinically</w:t>
      </w:r>
      <w:proofErr w:type="gramEnd"/>
      <w:r w:rsidRPr="002E470D">
        <w:rPr>
          <w:rFonts w:ascii="Times New Roman" w:eastAsia="宋体" w:hAnsi="Times New Roman" w:cs="Times New Roman"/>
          <w:b/>
          <w:bCs/>
          <w:kern w:val="0"/>
          <w:sz w:val="24"/>
          <w14:ligatures w14:val="none"/>
        </w:rPr>
        <w:t xml:space="preserve"> useful risk stratification?</w:t>
      </w:r>
    </w:p>
    <w:p w14:paraId="2A16EFFA" w14:textId="77777777" w:rsidR="00CB37DB" w:rsidRPr="002E470D" w:rsidRDefault="00CB37DB"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Lipid metabolism score showed good and clinically relevant predictive power using a variety of evaluation metrics. The AUC for 1 year survival was 0.72, </w:t>
      </w:r>
      <w:proofErr w:type="gramStart"/>
      <w:r w:rsidRPr="002E470D">
        <w:rPr>
          <w:rFonts w:ascii="Times New Roman" w:eastAsia="宋体" w:hAnsi="Times New Roman" w:cs="Times New Roman"/>
          <w:kern w:val="0"/>
          <w:sz w:val="24"/>
          <w14:ligatures w14:val="none"/>
        </w:rPr>
        <w:t>3 year</w:t>
      </w:r>
      <w:proofErr w:type="gramEnd"/>
      <w:r w:rsidRPr="002E470D">
        <w:rPr>
          <w:rFonts w:ascii="Times New Roman" w:eastAsia="宋体" w:hAnsi="Times New Roman" w:cs="Times New Roman"/>
          <w:kern w:val="0"/>
          <w:sz w:val="24"/>
          <w14:ligatures w14:val="none"/>
        </w:rPr>
        <w:t xml:space="preserve"> survival was </w:t>
      </w:r>
      <w:proofErr w:type="gramStart"/>
      <w:r w:rsidRPr="002E470D">
        <w:rPr>
          <w:rFonts w:ascii="Times New Roman" w:eastAsia="宋体" w:hAnsi="Times New Roman" w:cs="Times New Roman"/>
          <w:kern w:val="0"/>
          <w:sz w:val="24"/>
          <w14:ligatures w14:val="none"/>
        </w:rPr>
        <w:t>0.68 and 5 year</w:t>
      </w:r>
      <w:proofErr w:type="gramEnd"/>
      <w:r w:rsidRPr="002E470D">
        <w:rPr>
          <w:rFonts w:ascii="Times New Roman" w:eastAsia="宋体" w:hAnsi="Times New Roman" w:cs="Times New Roman"/>
          <w:kern w:val="0"/>
          <w:sz w:val="24"/>
          <w14:ligatures w14:val="none"/>
        </w:rPr>
        <w:t xml:space="preserve"> survival was 0.65 (Fig. 6A and B) from time dependent ROC analysis. The non-monotonic decrease of AUC over time is in line with the growing impact of the </w:t>
      </w:r>
      <w:proofErr w:type="gramStart"/>
      <w:r w:rsidRPr="002E470D">
        <w:rPr>
          <w:rFonts w:ascii="Times New Roman" w:eastAsia="宋体" w:hAnsi="Times New Roman" w:cs="Times New Roman"/>
          <w:kern w:val="0"/>
          <w:sz w:val="24"/>
          <w14:ligatures w14:val="none"/>
        </w:rPr>
        <w:t>late stage</w:t>
      </w:r>
      <w:proofErr w:type="gramEnd"/>
      <w:r w:rsidRPr="002E470D">
        <w:rPr>
          <w:rFonts w:ascii="Times New Roman" w:eastAsia="宋体" w:hAnsi="Times New Roman" w:cs="Times New Roman"/>
          <w:kern w:val="0"/>
          <w:sz w:val="24"/>
          <w14:ligatures w14:val="none"/>
        </w:rPr>
        <w:t xml:space="preserve"> clinical events and competing risks. However, the AUC of 0.65 for the 5-year time frame is modest but is useful for risk categorization, especially when compared to the other clinicopathological tools available that have AUC of &lt;0.65.</w:t>
      </w:r>
    </w:p>
    <w:p w14:paraId="4D01217C" w14:textId="77777777" w:rsidR="00CB37DB" w:rsidRPr="002E470D" w:rsidRDefault="00CB37DB"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We created a nomogram that included age, FNCLCC grade and lipid score (Supplementary Fig. S5) to offer a clinically useful tool. The nomogram can be used to predict individual </w:t>
      </w:r>
      <w:proofErr w:type="gramStart"/>
      <w:r w:rsidRPr="002E470D">
        <w:rPr>
          <w:rFonts w:ascii="Times New Roman" w:eastAsia="宋体" w:hAnsi="Times New Roman" w:cs="Times New Roman"/>
          <w:kern w:val="0"/>
          <w:sz w:val="24"/>
          <w14:ligatures w14:val="none"/>
        </w:rPr>
        <w:t>1, 3 and 5 year</w:t>
      </w:r>
      <w:proofErr w:type="gramEnd"/>
      <w:r w:rsidRPr="002E470D">
        <w:rPr>
          <w:rFonts w:ascii="Times New Roman" w:eastAsia="宋体" w:hAnsi="Times New Roman" w:cs="Times New Roman"/>
          <w:kern w:val="0"/>
          <w:sz w:val="24"/>
          <w14:ligatures w14:val="none"/>
        </w:rPr>
        <w:t xml:space="preserve"> survival probability by adding the points given for each variable. Despite the small sample size, calibration curves for the nomogram showed good agreement between the predicted and observed survival at the three timepoints with the bootstrap corrected nomogram calibration curves close to the diagonal reference line (Supplementary Fig. S6), suggesting that the model was well calibrated. Decision curve analysis also confirmed the clinical usefulness of the score, showing positive net benefit over a broad range of threshold probabilities (Fig. 6C), indicating that clinical decision making based on the score would be better than </w:t>
      </w:r>
      <w:proofErr w:type="gramStart"/>
      <w:r w:rsidRPr="002E470D">
        <w:rPr>
          <w:rFonts w:ascii="Times New Roman" w:eastAsia="宋体" w:hAnsi="Times New Roman" w:cs="Times New Roman"/>
          <w:kern w:val="0"/>
          <w:sz w:val="24"/>
          <w14:ligatures w14:val="none"/>
        </w:rPr>
        <w:t>treat</w:t>
      </w:r>
      <w:proofErr w:type="gramEnd"/>
      <w:r w:rsidRPr="002E470D">
        <w:rPr>
          <w:rFonts w:ascii="Times New Roman" w:eastAsia="宋体" w:hAnsi="Times New Roman" w:cs="Times New Roman"/>
          <w:kern w:val="0"/>
          <w:sz w:val="24"/>
          <w14:ligatures w14:val="none"/>
        </w:rPr>
        <w:t xml:space="preserve"> all or </w:t>
      </w:r>
      <w:proofErr w:type="gramStart"/>
      <w:r w:rsidRPr="002E470D">
        <w:rPr>
          <w:rFonts w:ascii="Times New Roman" w:eastAsia="宋体" w:hAnsi="Times New Roman" w:cs="Times New Roman"/>
          <w:kern w:val="0"/>
          <w:sz w:val="24"/>
          <w14:ligatures w14:val="none"/>
        </w:rPr>
        <w:t>treat</w:t>
      </w:r>
      <w:proofErr w:type="gramEnd"/>
      <w:r w:rsidRPr="002E470D">
        <w:rPr>
          <w:rFonts w:ascii="Times New Roman" w:eastAsia="宋体" w:hAnsi="Times New Roman" w:cs="Times New Roman"/>
          <w:kern w:val="0"/>
          <w:sz w:val="24"/>
          <w14:ligatures w14:val="none"/>
        </w:rPr>
        <w:t xml:space="preserve"> </w:t>
      </w:r>
      <w:proofErr w:type="gramStart"/>
      <w:r w:rsidRPr="002E470D">
        <w:rPr>
          <w:rFonts w:ascii="Times New Roman" w:eastAsia="宋体" w:hAnsi="Times New Roman" w:cs="Times New Roman"/>
          <w:kern w:val="0"/>
          <w:sz w:val="24"/>
          <w14:ligatures w14:val="none"/>
        </w:rPr>
        <w:t>none</w:t>
      </w:r>
      <w:proofErr w:type="gramEnd"/>
      <w:r w:rsidRPr="002E470D">
        <w:rPr>
          <w:rFonts w:ascii="Times New Roman" w:eastAsia="宋体" w:hAnsi="Times New Roman" w:cs="Times New Roman"/>
          <w:kern w:val="0"/>
          <w:sz w:val="24"/>
          <w14:ligatures w14:val="none"/>
        </w:rPr>
        <w:t xml:space="preserve"> strategies.</w:t>
      </w:r>
    </w:p>
    <w:p w14:paraId="6F546D4B" w14:textId="77777777" w:rsidR="00CB37DB" w:rsidRDefault="00CB37DB"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  Six core lipid metabolism genes were significantly up-regulated (all p &lt; 0.001) in the high score patients; the most highly up-regulated genes were FASN (</w:t>
      </w:r>
      <w:proofErr w:type="gramStart"/>
      <w:r w:rsidRPr="002E470D">
        <w:rPr>
          <w:rFonts w:ascii="Times New Roman" w:eastAsia="宋体" w:hAnsi="Times New Roman" w:cs="Times New Roman"/>
          <w:kern w:val="0"/>
          <w:sz w:val="24"/>
          <w14:ligatures w14:val="none"/>
        </w:rPr>
        <w:t>2.8 fold</w:t>
      </w:r>
      <w:proofErr w:type="gramEnd"/>
      <w:r w:rsidRPr="002E470D">
        <w:rPr>
          <w:rFonts w:ascii="Times New Roman" w:eastAsia="宋体" w:hAnsi="Times New Roman" w:cs="Times New Roman"/>
          <w:kern w:val="0"/>
          <w:sz w:val="24"/>
          <w14:ligatures w14:val="none"/>
        </w:rPr>
        <w:t>), ACLY (</w:t>
      </w:r>
      <w:proofErr w:type="gramStart"/>
      <w:r w:rsidRPr="002E470D">
        <w:rPr>
          <w:rFonts w:ascii="Times New Roman" w:eastAsia="宋体" w:hAnsi="Times New Roman" w:cs="Times New Roman"/>
          <w:kern w:val="0"/>
          <w:sz w:val="24"/>
          <w14:ligatures w14:val="none"/>
        </w:rPr>
        <w:t>2.3 fold</w:t>
      </w:r>
      <w:proofErr w:type="gramEnd"/>
      <w:r w:rsidRPr="002E470D">
        <w:rPr>
          <w:rFonts w:ascii="Times New Roman" w:eastAsia="宋体" w:hAnsi="Times New Roman" w:cs="Times New Roman"/>
          <w:kern w:val="0"/>
          <w:sz w:val="24"/>
          <w14:ligatures w14:val="none"/>
        </w:rPr>
        <w:t>), SCD (</w:t>
      </w:r>
      <w:proofErr w:type="gramStart"/>
      <w:r w:rsidRPr="002E470D">
        <w:rPr>
          <w:rFonts w:ascii="Times New Roman" w:eastAsia="宋体" w:hAnsi="Times New Roman" w:cs="Times New Roman"/>
          <w:kern w:val="0"/>
          <w:sz w:val="24"/>
          <w14:ligatures w14:val="none"/>
        </w:rPr>
        <w:t>2.1 fold</w:t>
      </w:r>
      <w:proofErr w:type="gramEnd"/>
      <w:r w:rsidRPr="002E470D">
        <w:rPr>
          <w:rFonts w:ascii="Times New Roman" w:eastAsia="宋体" w:hAnsi="Times New Roman" w:cs="Times New Roman"/>
          <w:kern w:val="0"/>
          <w:sz w:val="24"/>
          <w14:ligatures w14:val="none"/>
        </w:rPr>
        <w:t>) and SREBF1 (</w:t>
      </w:r>
      <w:proofErr w:type="gramStart"/>
      <w:r w:rsidRPr="002E470D">
        <w:rPr>
          <w:rFonts w:ascii="Times New Roman" w:eastAsia="宋体" w:hAnsi="Times New Roman" w:cs="Times New Roman"/>
          <w:kern w:val="0"/>
          <w:sz w:val="24"/>
          <w14:ligatures w14:val="none"/>
        </w:rPr>
        <w:t>1.9 fold</w:t>
      </w:r>
      <w:proofErr w:type="gramEnd"/>
      <w:r w:rsidRPr="002E470D">
        <w:rPr>
          <w:rFonts w:ascii="Times New Roman" w:eastAsia="宋体" w:hAnsi="Times New Roman" w:cs="Times New Roman"/>
          <w:kern w:val="0"/>
          <w:sz w:val="24"/>
          <w14:ligatures w14:val="none"/>
        </w:rPr>
        <w:t xml:space="preserve">) (Fig. 6D). </w:t>
      </w:r>
      <w:proofErr w:type="gramStart"/>
      <w:r w:rsidRPr="002E470D">
        <w:rPr>
          <w:rFonts w:ascii="Times New Roman" w:eastAsia="宋体" w:hAnsi="Times New Roman" w:cs="Times New Roman"/>
          <w:kern w:val="0"/>
          <w:sz w:val="24"/>
          <w14:ligatures w14:val="none"/>
        </w:rPr>
        <w:t>All of</w:t>
      </w:r>
      <w:proofErr w:type="gramEnd"/>
      <w:r w:rsidRPr="002E470D">
        <w:rPr>
          <w:rFonts w:ascii="Times New Roman" w:eastAsia="宋体" w:hAnsi="Times New Roman" w:cs="Times New Roman"/>
          <w:kern w:val="0"/>
          <w:sz w:val="24"/>
          <w14:ligatures w14:val="none"/>
        </w:rPr>
        <w:t xml:space="preserve"> these genes constituted a </w:t>
      </w:r>
      <w:proofErr w:type="gramStart"/>
      <w:r w:rsidRPr="002E470D">
        <w:rPr>
          <w:rFonts w:ascii="Times New Roman" w:eastAsia="宋体" w:hAnsi="Times New Roman" w:cs="Times New Roman"/>
          <w:kern w:val="0"/>
          <w:sz w:val="24"/>
          <w14:ligatures w14:val="none"/>
        </w:rPr>
        <w:t>highly-coordinated</w:t>
      </w:r>
      <w:proofErr w:type="gramEnd"/>
      <w:r w:rsidRPr="002E470D">
        <w:rPr>
          <w:rFonts w:ascii="Times New Roman" w:eastAsia="宋体" w:hAnsi="Times New Roman" w:cs="Times New Roman"/>
          <w:kern w:val="0"/>
          <w:sz w:val="24"/>
          <w14:ligatures w14:val="none"/>
        </w:rPr>
        <w:t xml:space="preserve"> gene expression network in which FASN was highly correlated with ACLY (R = 0.78) and SCD (R= 0.72; Fig. 6E; Supplementary Fig. S3D). Transcription factor activity inference showed the differential activation of important transcription factor networks, with PPARG showing the activation with the highest Log2FC (1.19, p-value 0.008), followed by E2F1 (Log2FC 0.50, p-value 0.012) and SREBF1 (Log2FC 0.30, p-value 0.026) (Fig. 6F). High score patients were predicted to be sensitive to FASN inhibitors, SCD inhibitors, and CDK4/6 inhibitors, while low score patients might be more sensitive to immune checkpoint inhibitors (ICIs) (Supplementary Fig. S3C). Our approach to scoring showed good correlation with four alternatives, as the simple mean, median, weighted mean and PCA recalculation correlated well with the original PCA based score (Spearman R &gt; 0.7) and discriminated well between </w:t>
      </w:r>
      <w:proofErr w:type="gramStart"/>
      <w:r w:rsidRPr="002E470D">
        <w:rPr>
          <w:rFonts w:ascii="Times New Roman" w:eastAsia="宋体" w:hAnsi="Times New Roman" w:cs="Times New Roman"/>
          <w:kern w:val="0"/>
          <w:sz w:val="24"/>
          <w14:ligatures w14:val="none"/>
        </w:rPr>
        <w:t>high risk</w:t>
      </w:r>
      <w:proofErr w:type="gramEnd"/>
      <w:r w:rsidRPr="002E470D">
        <w:rPr>
          <w:rFonts w:ascii="Times New Roman" w:eastAsia="宋体" w:hAnsi="Times New Roman" w:cs="Times New Roman"/>
          <w:kern w:val="0"/>
          <w:sz w:val="24"/>
          <w14:ligatures w14:val="none"/>
        </w:rPr>
        <w:t xml:space="preserve"> patients (HR range 2.3–2.9).</w:t>
      </w:r>
    </w:p>
    <w:p w14:paraId="458057D9" w14:textId="77777777" w:rsidR="00476933" w:rsidRDefault="00476933"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p>
    <w:p w14:paraId="1723F302" w14:textId="77777777" w:rsidR="00476933" w:rsidRPr="00476933" w:rsidRDefault="00476933" w:rsidP="00476933">
      <w:pPr>
        <w:keepLines/>
        <w:widowControl/>
        <w:suppressAutoHyphens/>
        <w:kinsoku w:val="0"/>
        <w:spacing w:before="120" w:after="120" w:line="240" w:lineRule="auto"/>
        <w:jc w:val="both"/>
        <w:rPr>
          <w:rFonts w:ascii="Times New Roman" w:eastAsia="宋体" w:hAnsi="Times New Roman" w:cs="Times New Roman" w:hint="eastAsia"/>
          <w:b/>
          <w:bCs/>
          <w:kern w:val="0"/>
          <w:sz w:val="24"/>
          <w14:ligatures w14:val="none"/>
        </w:rPr>
      </w:pPr>
      <w:r w:rsidRPr="00476933">
        <w:rPr>
          <w:rFonts w:ascii="Times New Roman" w:eastAsia="宋体" w:hAnsi="Times New Roman" w:cs="Times New Roman" w:hint="eastAsia"/>
          <w:b/>
          <w:bCs/>
          <w:kern w:val="0"/>
          <w:sz w:val="24"/>
          <w14:ligatures w14:val="none"/>
        </w:rPr>
        <w:t>External Validation in an Independent Liposarcoma Cohort</w:t>
      </w:r>
    </w:p>
    <w:p w14:paraId="12F8919F" w14:textId="027F343D" w:rsidR="00476933" w:rsidRPr="00476933" w:rsidRDefault="00476933" w:rsidP="00476933">
      <w:pPr>
        <w:keepLines/>
        <w:widowControl/>
        <w:suppressAutoHyphens/>
        <w:kinsoku w:val="0"/>
        <w:spacing w:before="120" w:after="120" w:line="240" w:lineRule="auto"/>
        <w:jc w:val="both"/>
        <w:rPr>
          <w:rFonts w:ascii="Times New Roman" w:eastAsia="宋体" w:hAnsi="Times New Roman" w:cs="Times New Roman" w:hint="eastAsia"/>
          <w:kern w:val="0"/>
          <w:sz w:val="24"/>
          <w14:ligatures w14:val="none"/>
        </w:rPr>
      </w:pPr>
      <w:r>
        <w:rPr>
          <w:rFonts w:ascii="Times New Roman" w:eastAsia="宋体" w:hAnsi="Times New Roman" w:cs="Times New Roman" w:hint="eastAsia"/>
          <w:kern w:val="0"/>
          <w:sz w:val="24"/>
          <w14:ligatures w14:val="none"/>
        </w:rPr>
        <w:t xml:space="preserve">  </w:t>
      </w:r>
      <w:r w:rsidRPr="00476933">
        <w:rPr>
          <w:rFonts w:ascii="Times New Roman" w:eastAsia="宋体" w:hAnsi="Times New Roman" w:cs="Times New Roman" w:hint="eastAsia"/>
          <w:kern w:val="0"/>
          <w:sz w:val="24"/>
          <w14:ligatures w14:val="none"/>
        </w:rPr>
        <w:t>To further evaluate the prognostic robustness of the six-gene lipid metabolism score, we analyzed an independent external cohort (GSE30929) comprising 140 liposarcoma patients with complete disease-free survival (DFS) data. The cohort included all major histological subtypes: well-differentiated (n=52), dedifferentiated (n=40), pleomorphic (n=20), myxoid/round cell (n=11), and myxoid (n=17). The lipid score was calculated using the same PCA-based method applied to the six core genes (FASN, ACLY, SCD, SREBF1, HMGCR, PPARG), and patients were dichotomized into high- and low-score groups by median cut-off.</w:t>
      </w:r>
      <w:r>
        <w:rPr>
          <w:rFonts w:ascii="Times New Roman" w:eastAsia="宋体" w:hAnsi="Times New Roman" w:cs="Times New Roman" w:hint="eastAsia"/>
          <w:kern w:val="0"/>
          <w:sz w:val="24"/>
          <w14:ligatures w14:val="none"/>
        </w:rPr>
        <w:t xml:space="preserve">  </w:t>
      </w:r>
      <w:r w:rsidRPr="00476933">
        <w:rPr>
          <w:rFonts w:ascii="Times New Roman" w:eastAsia="宋体" w:hAnsi="Times New Roman" w:cs="Times New Roman" w:hint="eastAsia"/>
          <w:kern w:val="0"/>
          <w:sz w:val="24"/>
          <w14:ligatures w14:val="none"/>
        </w:rPr>
        <w:t>In the entire GSE30929 cohort (n=140, 49 DFS events), the lipid score significantly stratified disease-free survival: patients in the low-score group had a 3.11-fold increased risk of recurrence compared with those in the high-score group (95% CI: 1.64</w:t>
      </w:r>
      <w:r w:rsidRPr="00476933">
        <w:rPr>
          <w:rFonts w:ascii="Times New Roman" w:eastAsia="宋体" w:hAnsi="Times New Roman" w:cs="Times New Roman" w:hint="eastAsia"/>
          <w:kern w:val="0"/>
          <w:sz w:val="24"/>
          <w14:ligatures w14:val="none"/>
        </w:rPr>
        <w:t>–</w:t>
      </w:r>
      <w:r w:rsidRPr="00476933">
        <w:rPr>
          <w:rFonts w:ascii="Times New Roman" w:eastAsia="宋体" w:hAnsi="Times New Roman" w:cs="Times New Roman" w:hint="eastAsia"/>
          <w:kern w:val="0"/>
          <w:sz w:val="24"/>
          <w14:ligatures w14:val="none"/>
        </w:rPr>
        <w:t>5.88, P=0.00049; Figure 7A). The prognostic value remained significant after adjusting for histological subtype in multivariate Cox regression analysis (HR=2.85, 95% CI: 1.47</w:t>
      </w:r>
      <w:r w:rsidRPr="00476933">
        <w:rPr>
          <w:rFonts w:ascii="Times New Roman" w:eastAsia="宋体" w:hAnsi="Times New Roman" w:cs="Times New Roman" w:hint="eastAsia"/>
          <w:kern w:val="0"/>
          <w:sz w:val="24"/>
          <w14:ligatures w14:val="none"/>
        </w:rPr>
        <w:t>–</w:t>
      </w:r>
      <w:r w:rsidRPr="00476933">
        <w:rPr>
          <w:rFonts w:ascii="Times New Roman" w:eastAsia="宋体" w:hAnsi="Times New Roman" w:cs="Times New Roman" w:hint="eastAsia"/>
          <w:kern w:val="0"/>
          <w:sz w:val="24"/>
          <w14:ligatures w14:val="none"/>
        </w:rPr>
        <w:t>5.52, P=0.002; Table S5).</w:t>
      </w:r>
    </w:p>
    <w:p w14:paraId="6A0C2D07" w14:textId="7DF92CD3" w:rsidR="00476933" w:rsidRPr="00476933" w:rsidRDefault="00476933" w:rsidP="00476933">
      <w:pPr>
        <w:keepLines/>
        <w:widowControl/>
        <w:suppressAutoHyphens/>
        <w:kinsoku w:val="0"/>
        <w:spacing w:before="120" w:after="120" w:line="240" w:lineRule="auto"/>
        <w:jc w:val="both"/>
        <w:rPr>
          <w:rFonts w:ascii="Times New Roman" w:eastAsia="宋体" w:hAnsi="Times New Roman" w:cs="Times New Roman" w:hint="eastAsia"/>
          <w:kern w:val="0"/>
          <w:sz w:val="24"/>
          <w14:ligatures w14:val="none"/>
        </w:rPr>
      </w:pPr>
      <w:r>
        <w:rPr>
          <w:rFonts w:ascii="Times New Roman" w:eastAsia="宋体" w:hAnsi="Times New Roman" w:cs="Times New Roman" w:hint="eastAsia"/>
          <w:kern w:val="0"/>
          <w:sz w:val="24"/>
          <w14:ligatures w14:val="none"/>
        </w:rPr>
        <w:t xml:space="preserve">  </w:t>
      </w:r>
      <w:r w:rsidRPr="00476933">
        <w:rPr>
          <w:rFonts w:ascii="Times New Roman" w:eastAsia="宋体" w:hAnsi="Times New Roman" w:cs="Times New Roman" w:hint="eastAsia"/>
          <w:kern w:val="0"/>
          <w:sz w:val="24"/>
          <w14:ligatures w14:val="none"/>
        </w:rPr>
        <w:t>Stratified analyses by histological subtype showed consistent trends, with the strongest separation observed in the pleomorphic subset (n=20, HR=0.48, P=0.09) and the DDLPS subset (n=40, HR=0.52, P=0.13), although statistical significance was limited by small subgroup sample sizes (Figure 7B</w:t>
      </w:r>
      <w:r w:rsidRPr="00476933">
        <w:rPr>
          <w:rFonts w:ascii="Times New Roman" w:eastAsia="宋体" w:hAnsi="Times New Roman" w:cs="Times New Roman" w:hint="eastAsia"/>
          <w:kern w:val="0"/>
          <w:sz w:val="24"/>
          <w14:ligatures w14:val="none"/>
        </w:rPr>
        <w:t>–</w:t>
      </w:r>
      <w:r w:rsidRPr="00476933">
        <w:rPr>
          <w:rFonts w:ascii="Times New Roman" w:eastAsia="宋体" w:hAnsi="Times New Roman" w:cs="Times New Roman" w:hint="eastAsia"/>
          <w:kern w:val="0"/>
          <w:sz w:val="24"/>
          <w14:ligatures w14:val="none"/>
        </w:rPr>
        <w:t>C; Table S5). Notably, the score also showed prognostic trends in the well-differentiated liposarcoma subset (n=52, HR=0.61, P=0.18), suggesting that the six-gene lipid metabolism program may have broad relevance across the liposarcoma differentiation spectrum.</w:t>
      </w:r>
    </w:p>
    <w:p w14:paraId="0BB6D2B2" w14:textId="24FEB53C" w:rsidR="00CB37DB" w:rsidRDefault="00476933"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 xml:space="preserve">  </w:t>
      </w:r>
      <w:r w:rsidRPr="00476933">
        <w:rPr>
          <w:rFonts w:ascii="Times New Roman" w:eastAsia="宋体" w:hAnsi="Times New Roman" w:cs="Times New Roman" w:hint="eastAsia"/>
          <w:kern w:val="0"/>
          <w:sz w:val="24"/>
          <w14:ligatures w14:val="none"/>
        </w:rPr>
        <w:t>Taken together, the four independent cohorts (TCGA-SARC, GSE21122, GSE159659, and GSE30929; total n=393) demonstrate that the six-gene lipid metabolism score is a robust and generalizable prognostic biomarker, validated on both overall survival (TCGA) and disease-free survival (GSE30929) endpoints (Table S5).</w:t>
      </w:r>
    </w:p>
    <w:p w14:paraId="748E40C7" w14:textId="77777777" w:rsidR="00476933" w:rsidRPr="002E470D" w:rsidRDefault="00476933" w:rsidP="00CB37DB">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p>
    <w:p w14:paraId="1D66FFFE" w14:textId="77777777" w:rsidR="00DD270E" w:rsidRPr="002E470D" w:rsidRDefault="00DD270E" w:rsidP="00DD270E">
      <w:pPr>
        <w:keepLines/>
        <w:widowControl/>
        <w:suppressAutoHyphens/>
        <w:kinsoku w:val="0"/>
        <w:spacing w:after="0" w:line="240" w:lineRule="auto"/>
        <w:jc w:val="both"/>
        <w:rPr>
          <w:rFonts w:ascii="Times New Roman" w:eastAsia="宋体" w:hAnsi="Times New Roman" w:cs="Times New Roman"/>
          <w:b/>
          <w:bCs/>
          <w:kern w:val="0"/>
          <w:sz w:val="24"/>
          <w14:ligatures w14:val="none"/>
        </w:rPr>
      </w:pPr>
      <w:bookmarkStart w:id="4" w:name="OLE_LINK10"/>
      <w:r w:rsidRPr="002E470D">
        <w:rPr>
          <w:rFonts w:ascii="Times New Roman" w:eastAsia="宋体" w:hAnsi="Times New Roman" w:cs="Times New Roman"/>
          <w:b/>
          <w:bCs/>
          <w:kern w:val="0"/>
          <w:sz w:val="24"/>
          <w14:ligatures w14:val="none"/>
        </w:rPr>
        <w:lastRenderedPageBreak/>
        <w:t>Discussion</w:t>
      </w:r>
    </w:p>
    <w:p w14:paraId="59D507DF" w14:textId="77777777" w:rsidR="00903922" w:rsidRDefault="00B76A70" w:rsidP="00B76A70">
      <w:pPr>
        <w:keepLines/>
        <w:widowControl/>
        <w:suppressAutoHyphens/>
        <w:kinsoku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 xml:space="preserve">  </w:t>
      </w:r>
      <w:r w:rsidRPr="00B76A70">
        <w:rPr>
          <w:rFonts w:ascii="Times New Roman" w:eastAsia="宋体" w:hAnsi="Times New Roman" w:cs="Times New Roman" w:hint="eastAsia"/>
          <w:kern w:val="0"/>
          <w:sz w:val="24"/>
          <w14:ligatures w14:val="none"/>
        </w:rPr>
        <w:t xml:space="preserve">The addition of GSE30929 (n=140) as an independent external validation cohort strengthens several aspects of this study. First, the consistent prognostic effect across both overall survival (TCGA, HR=5.83 in males) and disease-free survival (GSE30929, HR=3.11, P=0.00049) indicates that the six-gene lipid score captures a tumor-intrinsic metabolic program influencing both long-term mortality and early recurrence. Second, the score's applicability to all liposarcoma subtypes in GSE30929, rather than DDLPS alone, suggests that these genes reflect a shared adipocytic metabolic state rather than a subtype-specific artifact. This is consistent with PPARG's established role as a master </w:t>
      </w:r>
      <w:proofErr w:type="spellStart"/>
      <w:r w:rsidRPr="00B76A70">
        <w:rPr>
          <w:rFonts w:ascii="Times New Roman" w:eastAsia="宋体" w:hAnsi="Times New Roman" w:cs="Times New Roman" w:hint="eastAsia"/>
          <w:kern w:val="0"/>
          <w:sz w:val="24"/>
          <w14:ligatures w14:val="none"/>
        </w:rPr>
        <w:t>adipogenic</w:t>
      </w:r>
      <w:proofErr w:type="spellEnd"/>
      <w:r w:rsidRPr="00B76A70">
        <w:rPr>
          <w:rFonts w:ascii="Times New Roman" w:eastAsia="宋体" w:hAnsi="Times New Roman" w:cs="Times New Roman" w:hint="eastAsia"/>
          <w:kern w:val="0"/>
          <w:sz w:val="24"/>
          <w14:ligatures w14:val="none"/>
        </w:rPr>
        <w:t xml:space="preserve"> regulator whose activity varies along the differentiation spectrum.</w:t>
      </w:r>
    </w:p>
    <w:p w14:paraId="452F266D" w14:textId="32C3041C" w:rsidR="00B76A70" w:rsidRDefault="00B76A70" w:rsidP="00B76A70">
      <w:pPr>
        <w:keepLines/>
        <w:widowControl/>
        <w:suppressAutoHyphens/>
        <w:kinsoku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 xml:space="preserve">  </w:t>
      </w:r>
      <w:r w:rsidRPr="00B76A70">
        <w:rPr>
          <w:rFonts w:ascii="Times New Roman" w:eastAsia="宋体" w:hAnsi="Times New Roman" w:cs="Times New Roman" w:hint="eastAsia"/>
          <w:kern w:val="0"/>
          <w:sz w:val="24"/>
          <w14:ligatures w14:val="none"/>
        </w:rPr>
        <w:t>The robust performance across platforms (RNA-seq and Affymetrix) and endpoints (OS and DFS) demonstrates technical stability. However, the moderate C-index (0.629) in GSE30929 and the loss of statistical significance in individual histological subgroups highlight the need for larger subtype-specific cohorts to refine clinically actionable thresholds. The male-specific prognostic effect observed in TCGA also warrants validation in sex-balanced external datasets, as GSE30929 lacks sex-stratified survival annotations.</w:t>
      </w:r>
    </w:p>
    <w:p w14:paraId="39B9A35E" w14:textId="1AC7621D" w:rsidR="00DD270E" w:rsidRPr="00B76A70" w:rsidRDefault="00B76A70" w:rsidP="00B76A70">
      <w:pPr>
        <w:keepLines/>
        <w:widowControl/>
        <w:suppressAutoHyphens/>
        <w:kinsoku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 xml:space="preserve">  </w:t>
      </w:r>
      <w:r w:rsidRPr="00B76A70">
        <w:rPr>
          <w:rFonts w:ascii="Times New Roman" w:eastAsia="宋体" w:hAnsi="Times New Roman" w:cs="Times New Roman" w:hint="eastAsia"/>
          <w:kern w:val="0"/>
          <w:sz w:val="24"/>
          <w14:ligatures w14:val="none"/>
        </w:rPr>
        <w:t>Overall, with 393 patients across four cohorts, this study provides multi-cohort evidence supporting the six-gene lipid metabolism score as a prognostic biomarker in liposarcoma, while also delineating the limitations that future prospective studies should address.</w:t>
      </w:r>
    </w:p>
    <w:p w14:paraId="1377767D" w14:textId="77777777" w:rsidR="00DD270E" w:rsidRPr="002E470D" w:rsidRDefault="00DD270E" w:rsidP="00DD270E">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This study introduces a six gene lipid metabolism score to detect high risk DDLPS patients, which is related to the activation of PPARG/CD36 pathway. The score shows good stability of predictive performance and a remarkable sex specific prognostic impact not known before in DDLPS.</w:t>
      </w:r>
    </w:p>
    <w:p w14:paraId="69094A43" w14:textId="77777777" w:rsidR="00DD270E" w:rsidRPr="002E470D" w:rsidRDefault="00DD270E" w:rsidP="00DD270E">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Our results give clinical evidence of the involvement of the PPARG/CD36 axis in the progression of DDLPS. The excellent correlation between the score and PPARG/CD36 expression indicates that the score might be useful as a surrogate for axis activation. This is in line with the recent experimental evidence that the PPARγ/CD36 axis supports liposarcoma by inducing mTORC2-driven metabolic switch of tumor associated macrophages (10). CD36 and PPARγ have been related to cancer cell metabolism and </w:t>
      </w:r>
      <w:proofErr w:type="spellStart"/>
      <w:r w:rsidRPr="002E470D">
        <w:rPr>
          <w:rFonts w:ascii="Times New Roman" w:eastAsia="宋体" w:hAnsi="Times New Roman" w:cs="Times New Roman"/>
          <w:kern w:val="0"/>
          <w:sz w:val="24"/>
          <w14:ligatures w14:val="none"/>
        </w:rPr>
        <w:t>tumour</w:t>
      </w:r>
      <w:proofErr w:type="spellEnd"/>
      <w:r w:rsidRPr="002E470D">
        <w:rPr>
          <w:rFonts w:ascii="Times New Roman" w:eastAsia="宋体" w:hAnsi="Times New Roman" w:cs="Times New Roman"/>
          <w:kern w:val="0"/>
          <w:sz w:val="24"/>
          <w14:ligatures w14:val="none"/>
        </w:rPr>
        <w:t xml:space="preserve"> progression (15, 17). PPARG+CD36 signature also had an AUC of 0.71, further emphasizing the signature's potential as a diagnostic biomarker. Our prognostic signature performed as well or better than published prognostic signatures in sarcoma (14). Sensitivity analysis was performed, which confirmed robustness (Supplementary Fig. S6 and S7).</w:t>
      </w:r>
    </w:p>
    <w:p w14:paraId="790F8883" w14:textId="77777777" w:rsidR="00DD270E" w:rsidRPr="002E470D" w:rsidRDefault="00DD270E" w:rsidP="00DD270E">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  The other phenotype of cell cycle activation and immune suppression observed in tumors with high scores indicates that lipid metabolism is not only important for cell cycle activation and </w:t>
      </w:r>
      <w:proofErr w:type="gramStart"/>
      <w:r w:rsidRPr="002E470D">
        <w:rPr>
          <w:rFonts w:ascii="Times New Roman" w:eastAsia="宋体" w:hAnsi="Times New Roman" w:cs="Times New Roman"/>
          <w:kern w:val="0"/>
          <w:sz w:val="24"/>
          <w14:ligatures w14:val="none"/>
        </w:rPr>
        <w:t>proliferation, but</w:t>
      </w:r>
      <w:proofErr w:type="gramEnd"/>
      <w:r w:rsidRPr="002E470D">
        <w:rPr>
          <w:rFonts w:ascii="Times New Roman" w:eastAsia="宋体" w:hAnsi="Times New Roman" w:cs="Times New Roman"/>
          <w:kern w:val="0"/>
          <w:sz w:val="24"/>
          <w14:ligatures w14:val="none"/>
        </w:rPr>
        <w:t xml:space="preserve"> might also be important for immune suppression. The enrichment of cell cycle pathways is consistent with the studies elucidating that lipid metabolism delivers intermediates for cell signaling and membrane building blocks for rapid cell proliferation (18,19). In DDLPS, a high expression of PPARG is associated with poor prognosis, as opposed to being tumor suppressive in epithelial cancers (20-22). Down-regulation of interferon gamma and inflammatory response pathways, the immune suppression signature, is consistent with metabolic reprogramming promoting immune evasion (23,24). Significant differences in immune cell infiltration were not </w:t>
      </w:r>
      <w:proofErr w:type="gramStart"/>
      <w:r w:rsidRPr="002E470D">
        <w:rPr>
          <w:rFonts w:ascii="Times New Roman" w:eastAsia="宋体" w:hAnsi="Times New Roman" w:cs="Times New Roman"/>
          <w:kern w:val="0"/>
          <w:sz w:val="24"/>
          <w14:ligatures w14:val="none"/>
        </w:rPr>
        <w:t>observed</w:t>
      </w:r>
      <w:proofErr w:type="gramEnd"/>
      <w:r w:rsidRPr="002E470D">
        <w:rPr>
          <w:rFonts w:ascii="Times New Roman" w:eastAsia="宋体" w:hAnsi="Times New Roman" w:cs="Times New Roman"/>
          <w:kern w:val="0"/>
          <w:sz w:val="24"/>
          <w14:ligatures w14:val="none"/>
        </w:rPr>
        <w:t xml:space="preserve"> and the score is thought to be mainly influenced by the intrinsic properties of the tumor cells, not the abundance of immune cells (3,25). The sex specific prognostic effect has not been reported before; sex differences in cancer metabolism have been reported (8,26), but this is the first time the male specific metabolic prognostic axis has been demonstrated in DDLPS.</w:t>
      </w:r>
    </w:p>
    <w:p w14:paraId="45E8A793" w14:textId="42134A20" w:rsidR="00CE3857" w:rsidRPr="002E470D" w:rsidRDefault="00000000" w:rsidP="00DD270E">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The score may assist in risk stratification, particularly in male patients, and could guide treatment decisions. </w:t>
      </w:r>
      <w:bookmarkStart w:id="5" w:name="OLE_LINK25"/>
      <w:r w:rsidRPr="002E470D">
        <w:rPr>
          <w:rFonts w:ascii="Times New Roman" w:eastAsia="宋体" w:hAnsi="Times New Roman" w:cs="Times New Roman"/>
          <w:kern w:val="0"/>
          <w:sz w:val="24"/>
          <w14:ligatures w14:val="none"/>
        </w:rPr>
        <w:t>Low</w:t>
      </w:r>
      <w:r w:rsidRPr="002E470D">
        <w:rPr>
          <w:rFonts w:ascii="Times New Roman" w:eastAsia="宋体" w:hAnsi="Times New Roman" w:cs="Times New Roman"/>
          <w:kern w:val="0"/>
          <w:sz w:val="24"/>
          <w14:ligatures w14:val="none"/>
        </w:rPr>
        <w:noBreakHyphen/>
        <w:t>score patients (immune</w:t>
      </w:r>
      <w:r w:rsidRPr="002E470D">
        <w:rPr>
          <w:rFonts w:ascii="Times New Roman" w:eastAsia="宋体" w:hAnsi="Times New Roman" w:cs="Times New Roman"/>
          <w:kern w:val="0"/>
          <w:sz w:val="24"/>
          <w14:ligatures w14:val="none"/>
        </w:rPr>
        <w:noBreakHyphen/>
        <w:t xml:space="preserve">activated) might be considered for immune checkpoint inhibitors, </w:t>
      </w:r>
      <w:bookmarkEnd w:id="5"/>
      <w:r w:rsidRPr="002E470D">
        <w:rPr>
          <w:rFonts w:ascii="Times New Roman" w:eastAsia="宋体" w:hAnsi="Times New Roman" w:cs="Times New Roman"/>
          <w:kern w:val="0"/>
          <w:sz w:val="24"/>
          <w14:ligatures w14:val="none"/>
        </w:rPr>
        <w:t xml:space="preserve">whereas </w:t>
      </w:r>
      <w:bookmarkStart w:id="6" w:name="OLE_LINK26"/>
      <w:r w:rsidRPr="002E470D">
        <w:rPr>
          <w:rFonts w:ascii="Times New Roman" w:eastAsia="宋体" w:hAnsi="Times New Roman" w:cs="Times New Roman"/>
          <w:kern w:val="0"/>
          <w:sz w:val="24"/>
          <w14:ligatures w14:val="none"/>
        </w:rPr>
        <w:t>high</w:t>
      </w:r>
      <w:r w:rsidRPr="002E470D">
        <w:rPr>
          <w:rFonts w:ascii="Times New Roman" w:eastAsia="宋体" w:hAnsi="Times New Roman" w:cs="Times New Roman"/>
          <w:kern w:val="0"/>
          <w:sz w:val="24"/>
          <w14:ligatures w14:val="none"/>
        </w:rPr>
        <w:noBreakHyphen/>
        <w:t>score patients (cell cycle</w:t>
      </w:r>
      <w:r w:rsidRPr="002E470D">
        <w:rPr>
          <w:rFonts w:ascii="Times New Roman" w:eastAsia="宋体" w:hAnsi="Times New Roman" w:cs="Times New Roman"/>
          <w:kern w:val="0"/>
          <w:sz w:val="24"/>
          <w14:ligatures w14:val="none"/>
        </w:rPr>
        <w:noBreakHyphen/>
        <w:t>activated) might benefit from CDK4/6 inhibitors or metabolic</w:t>
      </w:r>
      <w:r w:rsidRPr="002E470D">
        <w:rPr>
          <w:rFonts w:ascii="Times New Roman" w:eastAsia="宋体" w:hAnsi="Times New Roman" w:cs="Times New Roman"/>
          <w:kern w:val="0"/>
          <w:sz w:val="24"/>
          <w14:ligatures w14:val="none"/>
        </w:rPr>
        <w:noBreakHyphen/>
        <w:t xml:space="preserve">targeted therapies </w:t>
      </w:r>
      <w:bookmarkEnd w:id="6"/>
      <w:r w:rsidRPr="002E470D">
        <w:rPr>
          <w:rFonts w:ascii="Times New Roman" w:eastAsia="宋体" w:hAnsi="Times New Roman" w:cs="Times New Roman"/>
          <w:kern w:val="0"/>
          <w:sz w:val="24"/>
          <w14:ligatures w14:val="none"/>
        </w:rPr>
        <w:t>(28-30</w:t>
      </w:r>
      <w:bookmarkEnd w:id="4"/>
      <w:r w:rsidRPr="002E470D">
        <w:rPr>
          <w:rFonts w:ascii="Times New Roman" w:eastAsia="宋体" w:hAnsi="Times New Roman" w:cs="Times New Roman"/>
          <w:kern w:val="0"/>
          <w:sz w:val="24"/>
          <w14:ligatures w14:val="none"/>
        </w:rPr>
        <w:t xml:space="preserve">). </w:t>
      </w:r>
      <w:bookmarkStart w:id="7" w:name="OLE_LINK28"/>
      <w:bookmarkStart w:id="8" w:name="OLE_LINK27"/>
      <w:r w:rsidRPr="002E470D">
        <w:rPr>
          <w:rFonts w:ascii="Times New Roman" w:eastAsia="宋体" w:hAnsi="Times New Roman" w:cs="Times New Roman"/>
          <w:kern w:val="0"/>
          <w:sz w:val="24"/>
          <w14:ligatures w14:val="none"/>
        </w:rPr>
        <w:t xml:space="preserve">Preclinical studies have shown that targeting FASN or SCD1 can suppress tumor growth </w:t>
      </w:r>
      <w:bookmarkEnd w:id="7"/>
      <w:r w:rsidRPr="002E470D">
        <w:rPr>
          <w:rFonts w:ascii="Times New Roman" w:eastAsia="宋体" w:hAnsi="Times New Roman" w:cs="Times New Roman"/>
          <w:kern w:val="0"/>
          <w:sz w:val="24"/>
          <w14:ligatures w14:val="none"/>
        </w:rPr>
        <w:t>(31,32</w:t>
      </w:r>
      <w:bookmarkEnd w:id="8"/>
      <w:r w:rsidRPr="002E470D">
        <w:rPr>
          <w:rFonts w:ascii="Times New Roman" w:eastAsia="宋体" w:hAnsi="Times New Roman" w:cs="Times New Roman"/>
          <w:kern w:val="0"/>
          <w:sz w:val="24"/>
          <w14:ligatures w14:val="none"/>
        </w:rPr>
        <w:t xml:space="preserve">), and CDK4/6 inhibitors have demonstrated efficacy in liposarcoma (27). </w:t>
      </w:r>
      <w:bookmarkStart w:id="9" w:name="OLE_LINK11"/>
      <w:r w:rsidRPr="002E470D">
        <w:rPr>
          <w:rFonts w:ascii="Times New Roman" w:eastAsia="宋体" w:hAnsi="Times New Roman" w:cs="Times New Roman"/>
          <w:kern w:val="0"/>
          <w:sz w:val="24"/>
          <w14:ligatures w14:val="none"/>
        </w:rPr>
        <w:t>The score could also serve as a stratification biomarker in clinical trials targeting the PPARG/CD36 axis</w:t>
      </w:r>
      <w:bookmarkEnd w:id="9"/>
      <w:r w:rsidRPr="002E470D">
        <w:rPr>
          <w:rFonts w:ascii="Times New Roman" w:eastAsia="宋体" w:hAnsi="Times New Roman" w:cs="Times New Roman"/>
          <w:kern w:val="0"/>
          <w:sz w:val="24"/>
          <w14:ligatures w14:val="none"/>
        </w:rPr>
        <w:t>.</w:t>
      </w:r>
    </w:p>
    <w:p w14:paraId="09719E61" w14:textId="77777777" w:rsidR="00CE3857" w:rsidRPr="002E470D" w:rsidRDefault="00000000">
      <w:pPr>
        <w:keepLines/>
        <w:widowControl/>
        <w:suppressAutoHyphens/>
        <w:kinsoku w:val="0"/>
        <w:spacing w:after="0" w:line="240" w:lineRule="auto"/>
        <w:jc w:val="both"/>
        <w:rPr>
          <w:rFonts w:ascii="Times New Roman" w:eastAsia="宋体" w:hAnsi="Times New Roman" w:cs="Times New Roman"/>
          <w:kern w:val="0"/>
          <w:sz w:val="24"/>
          <w14:ligatures w14:val="none"/>
        </w:rPr>
      </w:pPr>
      <w:bookmarkStart w:id="10" w:name="OLE_LINK12"/>
      <w:r w:rsidRPr="002E470D">
        <w:rPr>
          <w:rFonts w:ascii="Times New Roman" w:eastAsia="宋体" w:hAnsi="Times New Roman" w:cs="Times New Roman"/>
          <w:kern w:val="0"/>
          <w:sz w:val="24"/>
          <w14:ligatures w14:val="none"/>
        </w:rPr>
        <w:t xml:space="preserve">  Several limitations should be acknowledged. The sample size is small, especially for subgroup analyses (female patients, n=17). Our analysis is based on mRNA expression data; protein</w:t>
      </w:r>
      <w:r w:rsidRPr="002E470D">
        <w:rPr>
          <w:rFonts w:ascii="Times New Roman" w:eastAsia="宋体" w:hAnsi="Times New Roman" w:cs="Times New Roman"/>
          <w:kern w:val="0"/>
          <w:sz w:val="24"/>
          <w14:ligatures w14:val="none"/>
        </w:rPr>
        <w:noBreakHyphen/>
        <w:t>level validation would be valuable. Causal relationships cannot be established from correlative data; functional studies are needed. Drug sensitivity predictions are computational and require experimental validation. The sex</w:t>
      </w:r>
      <w:r w:rsidRPr="002E470D">
        <w:rPr>
          <w:rFonts w:ascii="Times New Roman" w:eastAsia="宋体" w:hAnsi="Times New Roman" w:cs="Times New Roman"/>
          <w:kern w:val="0"/>
          <w:sz w:val="24"/>
          <w14:ligatures w14:val="none"/>
        </w:rPr>
        <w:noBreakHyphen/>
        <w:t xml:space="preserve">specific finding requires confirmation in larger independent cohorts. </w:t>
      </w:r>
      <w:bookmarkStart w:id="11" w:name="OLE_LINK29"/>
      <w:r w:rsidRPr="002E470D">
        <w:rPr>
          <w:rFonts w:ascii="Times New Roman" w:eastAsia="宋体" w:hAnsi="Times New Roman" w:cs="Times New Roman"/>
          <w:kern w:val="0"/>
          <w:sz w:val="24"/>
          <w14:ligatures w14:val="none"/>
        </w:rPr>
        <w:t>Future studies should focus on prospective validation, functional interrogation of the PPARG/CD36 axis using CRISPR</w:t>
      </w:r>
      <w:r w:rsidRPr="002E470D">
        <w:rPr>
          <w:rFonts w:ascii="Times New Roman" w:eastAsia="宋体" w:hAnsi="Times New Roman" w:cs="Times New Roman"/>
          <w:kern w:val="0"/>
          <w:sz w:val="24"/>
          <w14:ligatures w14:val="none"/>
        </w:rPr>
        <w:noBreakHyphen/>
        <w:t xml:space="preserve">based approaches, and exploration of combining metabolic inhibitors with immune checkpoint </w:t>
      </w:r>
      <w:bookmarkEnd w:id="11"/>
      <w:r w:rsidRPr="002E470D">
        <w:rPr>
          <w:rFonts w:ascii="Times New Roman" w:eastAsia="宋体" w:hAnsi="Times New Roman" w:cs="Times New Roman"/>
          <w:kern w:val="0"/>
          <w:sz w:val="24"/>
          <w14:ligatures w14:val="none"/>
        </w:rPr>
        <w:t xml:space="preserve">blockade (33-35). </w:t>
      </w:r>
      <w:bookmarkStart w:id="12" w:name="OLE_LINK30"/>
      <w:r w:rsidRPr="002E470D">
        <w:rPr>
          <w:rFonts w:ascii="Times New Roman" w:eastAsia="宋体" w:hAnsi="Times New Roman" w:cs="Times New Roman"/>
          <w:kern w:val="0"/>
          <w:sz w:val="24"/>
          <w14:ligatures w14:val="none"/>
        </w:rPr>
        <w:t xml:space="preserve">Investigating the role of estrogen and androgen signaling may help explain the observed sex </w:t>
      </w:r>
      <w:bookmarkEnd w:id="12"/>
      <w:r w:rsidRPr="002E470D">
        <w:rPr>
          <w:rFonts w:ascii="Times New Roman" w:eastAsia="宋体" w:hAnsi="Times New Roman" w:cs="Times New Roman"/>
          <w:kern w:val="0"/>
          <w:sz w:val="24"/>
          <w14:ligatures w14:val="none"/>
        </w:rPr>
        <w:t>difference (36,37).</w:t>
      </w:r>
    </w:p>
    <w:bookmarkEnd w:id="10"/>
    <w:p w14:paraId="66D598E5" w14:textId="77777777" w:rsidR="00CE3857" w:rsidRPr="002E470D" w:rsidRDefault="00000000">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We developed a six</w:t>
      </w:r>
      <w:r w:rsidRPr="002E470D">
        <w:rPr>
          <w:rFonts w:ascii="Times New Roman" w:eastAsia="宋体" w:hAnsi="Times New Roman" w:cs="Times New Roman"/>
          <w:kern w:val="0"/>
          <w:sz w:val="24"/>
          <w14:ligatures w14:val="none"/>
        </w:rPr>
        <w:noBreakHyphen/>
        <w:t>gene lipid metabolism score that identifies DDLPS patients with poor prognosis and reflects PPARG/CD36 pathway activation. The score provides a clinically applicable risk</w:t>
      </w:r>
      <w:r w:rsidRPr="002E470D">
        <w:rPr>
          <w:rFonts w:ascii="Times New Roman" w:eastAsia="宋体" w:hAnsi="Times New Roman" w:cs="Times New Roman"/>
          <w:kern w:val="0"/>
          <w:sz w:val="24"/>
          <w14:ligatures w14:val="none"/>
        </w:rPr>
        <w:noBreakHyphen/>
        <w:t>stratification tool and highlights the PPARG/CD36 axis as a potential therapeutic target. The observed male</w:t>
      </w:r>
      <w:r w:rsidRPr="002E470D">
        <w:rPr>
          <w:rFonts w:ascii="Times New Roman" w:eastAsia="宋体" w:hAnsi="Times New Roman" w:cs="Times New Roman"/>
          <w:kern w:val="0"/>
          <w:sz w:val="24"/>
          <w14:ligatures w14:val="none"/>
        </w:rPr>
        <w:noBreakHyphen/>
        <w:t>specific prognostic effect warrants further investigation in larger cohorts.</w:t>
      </w:r>
    </w:p>
    <w:p w14:paraId="6D6ADF18" w14:textId="77777777" w:rsidR="0057228C" w:rsidRPr="002E470D" w:rsidRDefault="0057228C">
      <w:pPr>
        <w:keepLines/>
        <w:widowControl/>
        <w:suppressAutoHyphens/>
        <w:kinsoku w:val="0"/>
        <w:spacing w:after="0" w:line="240" w:lineRule="auto"/>
        <w:jc w:val="both"/>
        <w:rPr>
          <w:rFonts w:ascii="Times New Roman" w:eastAsia="宋体" w:hAnsi="Times New Roman" w:cs="Times New Roman"/>
          <w:b/>
          <w:bCs/>
          <w:kern w:val="0"/>
          <w:sz w:val="24"/>
          <w14:ligatures w14:val="none"/>
        </w:rPr>
      </w:pPr>
      <w:bookmarkStart w:id="13" w:name="OLE_LINK36"/>
      <w:bookmarkStart w:id="14" w:name="OLE_LINK59"/>
    </w:p>
    <w:bookmarkEnd w:id="13"/>
    <w:p w14:paraId="52408000" w14:textId="77777777" w:rsidR="00731F6D" w:rsidRPr="002E470D" w:rsidRDefault="00731F6D" w:rsidP="00731F6D">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Abbreviations</w:t>
      </w:r>
    </w:p>
    <w:p w14:paraId="16BF32FD" w14:textId="77777777"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174"/>
      </w:tblGrid>
      <w:tr w:rsidR="00731F6D" w:rsidRPr="002E470D" w14:paraId="42F99B96" w14:textId="77777777" w:rsidTr="004C2851">
        <w:tc>
          <w:tcPr>
            <w:tcW w:w="2122" w:type="dxa"/>
          </w:tcPr>
          <w:p w14:paraId="0A1D16E4" w14:textId="70C0CF3F"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ACLY</w:t>
            </w:r>
          </w:p>
        </w:tc>
        <w:tc>
          <w:tcPr>
            <w:tcW w:w="6174" w:type="dxa"/>
          </w:tcPr>
          <w:p w14:paraId="38B9F3D1" w14:textId="77777777" w:rsidR="00BC2F86" w:rsidRPr="002E470D" w:rsidRDefault="00BC2F86" w:rsidP="00BC2F86">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ATP Citrate Lyase (Protein)</w:t>
            </w:r>
          </w:p>
          <w:p w14:paraId="1903D470" w14:textId="77777777" w:rsidR="00731F6D" w:rsidRPr="002E470D" w:rsidRDefault="00731F6D"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p>
        </w:tc>
      </w:tr>
      <w:tr w:rsidR="00731F6D" w:rsidRPr="002E470D" w14:paraId="62E636B5" w14:textId="77777777" w:rsidTr="004C2851">
        <w:tc>
          <w:tcPr>
            <w:tcW w:w="2122" w:type="dxa"/>
          </w:tcPr>
          <w:p w14:paraId="7CD2AD98" w14:textId="3549D4DA"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AUC</w:t>
            </w:r>
          </w:p>
        </w:tc>
        <w:tc>
          <w:tcPr>
            <w:tcW w:w="6174" w:type="dxa"/>
          </w:tcPr>
          <w:p w14:paraId="395A93D5" w14:textId="45EAFA10"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Area Under the Curve</w:t>
            </w:r>
          </w:p>
        </w:tc>
      </w:tr>
      <w:tr w:rsidR="00731F6D" w:rsidRPr="002E470D" w14:paraId="771BB514" w14:textId="77777777" w:rsidTr="004C2851">
        <w:tc>
          <w:tcPr>
            <w:tcW w:w="2122" w:type="dxa"/>
          </w:tcPr>
          <w:p w14:paraId="34CD9FE9" w14:textId="6148B591"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CD36</w:t>
            </w:r>
          </w:p>
        </w:tc>
        <w:tc>
          <w:tcPr>
            <w:tcW w:w="6174" w:type="dxa"/>
          </w:tcPr>
          <w:p w14:paraId="4F7C8589" w14:textId="69567684"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Cluster of Differentiation 36 / Fatty Acid Translocase</w:t>
            </w:r>
          </w:p>
        </w:tc>
      </w:tr>
      <w:tr w:rsidR="00731F6D" w:rsidRPr="002E470D" w14:paraId="40AECF49" w14:textId="77777777" w:rsidTr="004C2851">
        <w:tc>
          <w:tcPr>
            <w:tcW w:w="2122" w:type="dxa"/>
          </w:tcPr>
          <w:p w14:paraId="7CFEB813" w14:textId="387EE147"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CI</w:t>
            </w:r>
          </w:p>
        </w:tc>
        <w:tc>
          <w:tcPr>
            <w:tcW w:w="6174" w:type="dxa"/>
          </w:tcPr>
          <w:p w14:paraId="52E89BD3" w14:textId="7E9BCC16"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Confidence Interval</w:t>
            </w:r>
          </w:p>
        </w:tc>
      </w:tr>
      <w:tr w:rsidR="00731F6D" w:rsidRPr="002E470D" w14:paraId="514C2626" w14:textId="77777777" w:rsidTr="004C2851">
        <w:tc>
          <w:tcPr>
            <w:tcW w:w="2122" w:type="dxa"/>
          </w:tcPr>
          <w:p w14:paraId="0D52F100" w14:textId="3F31DB4E"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DCA</w:t>
            </w:r>
          </w:p>
        </w:tc>
        <w:tc>
          <w:tcPr>
            <w:tcW w:w="6174" w:type="dxa"/>
          </w:tcPr>
          <w:p w14:paraId="41F4396F" w14:textId="718434E5"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Decision Curve Analysis</w:t>
            </w:r>
          </w:p>
        </w:tc>
      </w:tr>
      <w:tr w:rsidR="00731F6D" w:rsidRPr="002E470D" w14:paraId="0BDEF3C4" w14:textId="77777777" w:rsidTr="004C2851">
        <w:tc>
          <w:tcPr>
            <w:tcW w:w="2122" w:type="dxa"/>
          </w:tcPr>
          <w:p w14:paraId="71605CF0" w14:textId="7E855CAC" w:rsidR="00731F6D" w:rsidRPr="002E470D" w:rsidRDefault="00BC2F86" w:rsidP="00BC2F86">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DDLPS</w:t>
            </w:r>
          </w:p>
        </w:tc>
        <w:tc>
          <w:tcPr>
            <w:tcW w:w="6174" w:type="dxa"/>
          </w:tcPr>
          <w:p w14:paraId="18DA5AED" w14:textId="378D3BC6" w:rsidR="00731F6D"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Dedifferentiated Liposarcoma</w:t>
            </w:r>
          </w:p>
        </w:tc>
      </w:tr>
      <w:tr w:rsidR="00BC2F86" w:rsidRPr="002E470D" w14:paraId="68DF668C" w14:textId="77777777" w:rsidTr="004C2851">
        <w:tc>
          <w:tcPr>
            <w:tcW w:w="2122" w:type="dxa"/>
          </w:tcPr>
          <w:p w14:paraId="4E5E5115" w14:textId="7A2E5695"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FASN</w:t>
            </w:r>
          </w:p>
        </w:tc>
        <w:tc>
          <w:tcPr>
            <w:tcW w:w="6174" w:type="dxa"/>
          </w:tcPr>
          <w:p w14:paraId="13596E0B" w14:textId="2F2EE0CA"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Fatty Acid Synthase</w:t>
            </w:r>
          </w:p>
        </w:tc>
      </w:tr>
      <w:tr w:rsidR="00BC2F86" w:rsidRPr="002E470D" w14:paraId="7D2BCF69" w14:textId="77777777" w:rsidTr="004C2851">
        <w:tc>
          <w:tcPr>
            <w:tcW w:w="2122" w:type="dxa"/>
          </w:tcPr>
          <w:p w14:paraId="5D6DFECC" w14:textId="51636C2C"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FDR</w:t>
            </w:r>
          </w:p>
        </w:tc>
        <w:tc>
          <w:tcPr>
            <w:tcW w:w="6174" w:type="dxa"/>
          </w:tcPr>
          <w:p w14:paraId="5FD4AE33" w14:textId="79B634E0"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False Discovery Rate</w:t>
            </w:r>
          </w:p>
        </w:tc>
      </w:tr>
      <w:tr w:rsidR="00BC2F86" w:rsidRPr="002E470D" w14:paraId="250B2A82" w14:textId="77777777" w:rsidTr="004C2851">
        <w:tc>
          <w:tcPr>
            <w:tcW w:w="2122" w:type="dxa"/>
          </w:tcPr>
          <w:p w14:paraId="14C0FD23" w14:textId="56AB2623"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FC</w:t>
            </w:r>
          </w:p>
        </w:tc>
        <w:tc>
          <w:tcPr>
            <w:tcW w:w="6174" w:type="dxa"/>
          </w:tcPr>
          <w:p w14:paraId="4ABBE348" w14:textId="7AEC63D5"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Fold Change</w:t>
            </w:r>
          </w:p>
        </w:tc>
      </w:tr>
      <w:tr w:rsidR="00BC2F86" w:rsidRPr="002E470D" w14:paraId="1B5DD48E" w14:textId="77777777" w:rsidTr="004C2851">
        <w:tc>
          <w:tcPr>
            <w:tcW w:w="2122" w:type="dxa"/>
          </w:tcPr>
          <w:p w14:paraId="386A7F8A" w14:textId="638FA8B7"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FNCLCC</w:t>
            </w:r>
          </w:p>
        </w:tc>
        <w:tc>
          <w:tcPr>
            <w:tcW w:w="6174" w:type="dxa"/>
          </w:tcPr>
          <w:p w14:paraId="68ABA174" w14:textId="7204E302"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Fédération Nationale des </w:t>
            </w:r>
            <w:proofErr w:type="spellStart"/>
            <w:r w:rsidRPr="002E470D">
              <w:rPr>
                <w:rFonts w:ascii="Times New Roman" w:eastAsia="宋体" w:hAnsi="Times New Roman" w:cs="Times New Roman"/>
                <w:kern w:val="0"/>
                <w:sz w:val="24"/>
                <w14:ligatures w14:val="none"/>
              </w:rPr>
              <w:t>Centres</w:t>
            </w:r>
            <w:proofErr w:type="spellEnd"/>
            <w:r w:rsidRPr="002E470D">
              <w:rPr>
                <w:rFonts w:ascii="Times New Roman" w:eastAsia="宋体" w:hAnsi="Times New Roman" w:cs="Times New Roman"/>
                <w:kern w:val="0"/>
                <w:sz w:val="24"/>
                <w14:ligatures w14:val="none"/>
              </w:rPr>
              <w:t xml:space="preserve"> de Lutte Contre le Cancer</w:t>
            </w:r>
          </w:p>
        </w:tc>
      </w:tr>
      <w:tr w:rsidR="00BC2F86" w:rsidRPr="002E470D" w14:paraId="101A3B33" w14:textId="77777777" w:rsidTr="004C2851">
        <w:tc>
          <w:tcPr>
            <w:tcW w:w="2122" w:type="dxa"/>
          </w:tcPr>
          <w:p w14:paraId="79B01743" w14:textId="2A38971F"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GEO</w:t>
            </w:r>
          </w:p>
        </w:tc>
        <w:tc>
          <w:tcPr>
            <w:tcW w:w="6174" w:type="dxa"/>
          </w:tcPr>
          <w:p w14:paraId="737950B6" w14:textId="730B6514" w:rsidR="00BC2F86" w:rsidRPr="002E470D" w:rsidRDefault="00BC2F86"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Gene Expression Omnibus</w:t>
            </w:r>
          </w:p>
        </w:tc>
      </w:tr>
      <w:tr w:rsidR="00BC2F86" w:rsidRPr="002E470D" w14:paraId="7C13FBB0" w14:textId="77777777" w:rsidTr="004C2851">
        <w:tc>
          <w:tcPr>
            <w:tcW w:w="2122" w:type="dxa"/>
          </w:tcPr>
          <w:p w14:paraId="595DC85A" w14:textId="07D28626"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GSEA</w:t>
            </w:r>
          </w:p>
        </w:tc>
        <w:tc>
          <w:tcPr>
            <w:tcW w:w="6174" w:type="dxa"/>
          </w:tcPr>
          <w:p w14:paraId="7DDC00B4" w14:textId="030CF489"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Gene Set Enrichment Analysis</w:t>
            </w:r>
          </w:p>
        </w:tc>
      </w:tr>
      <w:tr w:rsidR="00BC2F86" w:rsidRPr="002E470D" w14:paraId="0079EB03" w14:textId="77777777" w:rsidTr="004C2851">
        <w:tc>
          <w:tcPr>
            <w:tcW w:w="2122" w:type="dxa"/>
          </w:tcPr>
          <w:p w14:paraId="25AB8A59" w14:textId="72375D9C"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HMGCR</w:t>
            </w:r>
          </w:p>
        </w:tc>
        <w:tc>
          <w:tcPr>
            <w:tcW w:w="6174" w:type="dxa"/>
          </w:tcPr>
          <w:p w14:paraId="40E7321A" w14:textId="798176C8"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3-Hydroxy-3-Methylglutaryl-CoA Reductase</w:t>
            </w:r>
          </w:p>
        </w:tc>
      </w:tr>
      <w:tr w:rsidR="00BC2F86" w:rsidRPr="002E470D" w14:paraId="15D61228" w14:textId="77777777" w:rsidTr="004C2851">
        <w:tc>
          <w:tcPr>
            <w:tcW w:w="2122" w:type="dxa"/>
          </w:tcPr>
          <w:p w14:paraId="60398437" w14:textId="09D049EE"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HR</w:t>
            </w:r>
          </w:p>
        </w:tc>
        <w:tc>
          <w:tcPr>
            <w:tcW w:w="6174" w:type="dxa"/>
          </w:tcPr>
          <w:p w14:paraId="19921FAE" w14:textId="44C98509"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Hazard Ratio</w:t>
            </w:r>
          </w:p>
        </w:tc>
      </w:tr>
      <w:tr w:rsidR="00BC2F86" w:rsidRPr="002E470D" w14:paraId="2BAC52F4" w14:textId="77777777" w:rsidTr="004C2851">
        <w:tc>
          <w:tcPr>
            <w:tcW w:w="2122" w:type="dxa"/>
          </w:tcPr>
          <w:p w14:paraId="508347FF" w14:textId="5C24C504"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KEGG</w:t>
            </w:r>
          </w:p>
        </w:tc>
        <w:tc>
          <w:tcPr>
            <w:tcW w:w="6174" w:type="dxa"/>
          </w:tcPr>
          <w:p w14:paraId="576DD5B5" w14:textId="20C1FEC5"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Kyoto Encyclopedia of Genes and Genomes</w:t>
            </w:r>
          </w:p>
        </w:tc>
      </w:tr>
      <w:tr w:rsidR="00BC2F86" w:rsidRPr="002E470D" w14:paraId="5231CBE3" w14:textId="77777777" w:rsidTr="004C2851">
        <w:tc>
          <w:tcPr>
            <w:tcW w:w="2122" w:type="dxa"/>
          </w:tcPr>
          <w:p w14:paraId="0CF71816" w14:textId="7E82EDC8"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log2CPM</w:t>
            </w:r>
          </w:p>
        </w:tc>
        <w:tc>
          <w:tcPr>
            <w:tcW w:w="6174" w:type="dxa"/>
          </w:tcPr>
          <w:p w14:paraId="7E63B55E" w14:textId="14F39A78"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log2 Counts Per Million</w:t>
            </w:r>
          </w:p>
        </w:tc>
      </w:tr>
      <w:tr w:rsidR="00BC2F86" w:rsidRPr="002E470D" w14:paraId="7C83A51D" w14:textId="77777777" w:rsidTr="004C2851">
        <w:tc>
          <w:tcPr>
            <w:tcW w:w="2122" w:type="dxa"/>
          </w:tcPr>
          <w:p w14:paraId="5B679D4D" w14:textId="368E22A5"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proofErr w:type="spellStart"/>
            <w:r w:rsidRPr="002E470D">
              <w:rPr>
                <w:rFonts w:ascii="Times New Roman" w:eastAsia="宋体" w:hAnsi="Times New Roman" w:cs="Times New Roman"/>
                <w:kern w:val="0"/>
                <w:sz w:val="24"/>
                <w14:ligatures w14:val="none"/>
              </w:rPr>
              <w:t>MSigDB</w:t>
            </w:r>
            <w:proofErr w:type="spellEnd"/>
          </w:p>
        </w:tc>
        <w:tc>
          <w:tcPr>
            <w:tcW w:w="6174" w:type="dxa"/>
          </w:tcPr>
          <w:p w14:paraId="310A8B02" w14:textId="0051DE1C"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Molecular Signatures Database</w:t>
            </w:r>
          </w:p>
        </w:tc>
      </w:tr>
      <w:tr w:rsidR="00BC2F86" w:rsidRPr="002E470D" w14:paraId="4CD1DE37" w14:textId="77777777" w:rsidTr="004C2851">
        <w:tc>
          <w:tcPr>
            <w:tcW w:w="2122" w:type="dxa"/>
          </w:tcPr>
          <w:p w14:paraId="61623E1F" w14:textId="4AB343E7"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NES</w:t>
            </w:r>
          </w:p>
        </w:tc>
        <w:tc>
          <w:tcPr>
            <w:tcW w:w="6174" w:type="dxa"/>
          </w:tcPr>
          <w:p w14:paraId="10F61D61" w14:textId="28517B7A"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Normalized Enrichment Score</w:t>
            </w:r>
          </w:p>
        </w:tc>
      </w:tr>
      <w:tr w:rsidR="00BC2F86" w:rsidRPr="002E470D" w14:paraId="790C827A" w14:textId="77777777" w:rsidTr="004C2851">
        <w:tc>
          <w:tcPr>
            <w:tcW w:w="2122" w:type="dxa"/>
          </w:tcPr>
          <w:p w14:paraId="2A46C4DD" w14:textId="10E3CBE3"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OS</w:t>
            </w:r>
          </w:p>
        </w:tc>
        <w:tc>
          <w:tcPr>
            <w:tcW w:w="6174" w:type="dxa"/>
          </w:tcPr>
          <w:p w14:paraId="77FB26CD" w14:textId="1A854EAC"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Overall Survival</w:t>
            </w:r>
          </w:p>
        </w:tc>
      </w:tr>
      <w:tr w:rsidR="00BC2F86" w:rsidRPr="002E470D" w14:paraId="4ED1C376" w14:textId="77777777" w:rsidTr="004C2851">
        <w:tc>
          <w:tcPr>
            <w:tcW w:w="2122" w:type="dxa"/>
          </w:tcPr>
          <w:p w14:paraId="6FF673D6" w14:textId="24923709"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PCA</w:t>
            </w:r>
          </w:p>
        </w:tc>
        <w:tc>
          <w:tcPr>
            <w:tcW w:w="6174" w:type="dxa"/>
          </w:tcPr>
          <w:p w14:paraId="5CC6B9C6" w14:textId="78D77A36"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Principal Component Analysis</w:t>
            </w:r>
          </w:p>
        </w:tc>
      </w:tr>
      <w:tr w:rsidR="00BC2F86" w:rsidRPr="002E470D" w14:paraId="652320F7" w14:textId="77777777" w:rsidTr="004C2851">
        <w:tc>
          <w:tcPr>
            <w:tcW w:w="2122" w:type="dxa"/>
          </w:tcPr>
          <w:p w14:paraId="60445A3C" w14:textId="3A3D4BC1"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PPARG</w:t>
            </w:r>
          </w:p>
        </w:tc>
        <w:tc>
          <w:tcPr>
            <w:tcW w:w="6174" w:type="dxa"/>
          </w:tcPr>
          <w:p w14:paraId="39469DDE" w14:textId="77F59949" w:rsidR="00BC2F86" w:rsidRPr="002E470D" w:rsidRDefault="00276B3C" w:rsidP="00731F6D">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Proliferator-Activated Receptor Gamma</w:t>
            </w:r>
          </w:p>
        </w:tc>
      </w:tr>
      <w:bookmarkEnd w:id="14"/>
    </w:tbl>
    <w:p w14:paraId="6D7359DC" w14:textId="77777777" w:rsidR="00276B3C" w:rsidRPr="002E470D" w:rsidRDefault="00276B3C" w:rsidP="0057228C">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p>
    <w:p w14:paraId="5FCAA604" w14:textId="14F3F10E" w:rsidR="0057228C" w:rsidRPr="002E470D" w:rsidRDefault="0057228C" w:rsidP="0057228C">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Data availability statement</w:t>
      </w:r>
    </w:p>
    <w:p w14:paraId="705A1ECE" w14:textId="1A53D8A1" w:rsidR="0057228C" w:rsidRPr="002E470D" w:rsidRDefault="0057228C" w:rsidP="0044780C">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0044780C" w:rsidRPr="0044780C">
        <w:rPr>
          <w:rFonts w:ascii="Times New Roman" w:eastAsia="宋体" w:hAnsi="Times New Roman" w:cs="Times New Roman" w:hint="eastAsia"/>
          <w:kern w:val="0"/>
          <w:sz w:val="24"/>
          <w14:ligatures w14:val="none"/>
        </w:rPr>
        <w:t>The GSE30929 dataset analyzed during the current study is available at the Gene Expression Omnibus (https://www.ncbi.nlm.nih.gov/geo/query/acc.cgi?acc=GSE30929). All processed data and analysis code are available at GitHub (https://github.com/wqxrmyy/LipidScore_DDLPS).</w:t>
      </w:r>
      <w:r w:rsidRPr="002E470D">
        <w:rPr>
          <w:rFonts w:ascii="Times New Roman" w:eastAsia="宋体" w:hAnsi="Times New Roman" w:cs="Times New Roman"/>
          <w:kern w:val="0"/>
          <w:sz w:val="24"/>
          <w14:ligatures w14:val="none"/>
        </w:rPr>
        <w:t xml:space="preserve">The annotation files for the platform can be downloaded from the GEO record associated with the platform (GPL570, GPL23159). The additional information needed to </w:t>
      </w:r>
      <w:proofErr w:type="spellStart"/>
      <w:r w:rsidRPr="002E470D">
        <w:rPr>
          <w:rFonts w:ascii="Times New Roman" w:eastAsia="宋体" w:hAnsi="Times New Roman" w:cs="Times New Roman"/>
          <w:kern w:val="0"/>
          <w:sz w:val="24"/>
          <w14:ligatures w14:val="none"/>
        </w:rPr>
        <w:t>reanalyse</w:t>
      </w:r>
      <w:proofErr w:type="spellEnd"/>
      <w:r w:rsidRPr="002E470D">
        <w:rPr>
          <w:rFonts w:ascii="Times New Roman" w:eastAsia="宋体" w:hAnsi="Times New Roman" w:cs="Times New Roman"/>
          <w:kern w:val="0"/>
          <w:sz w:val="24"/>
          <w14:ligatures w14:val="none"/>
        </w:rPr>
        <w:t xml:space="preserve"> the data reported in this study </w:t>
      </w:r>
      <w:proofErr w:type="gramStart"/>
      <w:r w:rsidRPr="002E470D">
        <w:rPr>
          <w:rFonts w:ascii="Times New Roman" w:eastAsia="宋体" w:hAnsi="Times New Roman" w:cs="Times New Roman"/>
          <w:kern w:val="0"/>
          <w:sz w:val="24"/>
          <w14:ligatures w14:val="none"/>
        </w:rPr>
        <w:t>are</w:t>
      </w:r>
      <w:proofErr w:type="gramEnd"/>
      <w:r w:rsidRPr="002E470D">
        <w:rPr>
          <w:rFonts w:ascii="Times New Roman" w:eastAsia="宋体" w:hAnsi="Times New Roman" w:cs="Times New Roman"/>
          <w:kern w:val="0"/>
          <w:sz w:val="24"/>
          <w14:ligatures w14:val="none"/>
        </w:rPr>
        <w:t xml:space="preserve"> available from the corresponding author on reasonable request.</w:t>
      </w:r>
    </w:p>
    <w:p w14:paraId="1802613C" w14:textId="77777777" w:rsidR="0057228C" w:rsidRPr="002E470D" w:rsidRDefault="0057228C" w:rsidP="0057228C">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p>
    <w:p w14:paraId="08236854" w14:textId="2BA29A33" w:rsidR="00CE3857" w:rsidRPr="002E470D" w:rsidRDefault="00617D75" w:rsidP="0057228C">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Authors’ contributions</w:t>
      </w:r>
    </w:p>
    <w:p w14:paraId="51662685" w14:textId="77777777" w:rsidR="00CE3857" w:rsidRPr="002E470D" w:rsidRDefault="00000000">
      <w:pPr>
        <w:keepLines/>
        <w:widowControl/>
        <w:suppressAutoHyphens/>
        <w:kinsoku w:val="0"/>
        <w:spacing w:before="120" w:after="12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W.X.: conceptualization, formal analysis, methodology, software, visualization, writing – original draft, writing – review and editing. C.L.: data curation, investigation, resources, writing – review and editing. J.S.: data curation, investigation, methodology, writing – review and editing. J.L.: investigation, resources, validation, writing – review and editing. S.G.: data curation, investigation, literature search. M.J.: methodology, software, validation, writing – review and editing. M.W.: investigation, resources, supervision, writing – review and editing. J.H.: data curation, project administration, writing – review and editing. Y.D.: methodology, software, validation, writing – review and editing. H.M.: resources, supervision, writing – review and editing. All authors have read and approved the final version. </w:t>
      </w:r>
    </w:p>
    <w:p w14:paraId="56E0AB82" w14:textId="77777777" w:rsidR="00CE3857" w:rsidRPr="002E470D" w:rsidRDefault="00CE3857">
      <w:pPr>
        <w:keepLines/>
        <w:widowControl/>
        <w:suppressAutoHyphens/>
        <w:kinsoku w:val="0"/>
        <w:spacing w:before="120" w:after="120" w:line="240" w:lineRule="auto"/>
        <w:jc w:val="both"/>
        <w:rPr>
          <w:rFonts w:ascii="Times New Roman" w:eastAsia="宋体" w:hAnsi="Times New Roman" w:cs="Times New Roman"/>
          <w:b/>
          <w:bCs/>
          <w:kern w:val="0"/>
          <w:sz w:val="24"/>
          <w14:ligatures w14:val="none"/>
        </w:rPr>
      </w:pPr>
    </w:p>
    <w:p w14:paraId="07248EFE"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b/>
          <w:bCs/>
          <w:kern w:val="0"/>
          <w:sz w:val="24"/>
          <w14:ligatures w14:val="none"/>
        </w:rPr>
      </w:pPr>
      <w:bookmarkStart w:id="15" w:name="OLE_LINK55"/>
      <w:r w:rsidRPr="002E470D">
        <w:rPr>
          <w:rFonts w:ascii="Times New Roman" w:eastAsia="宋体" w:hAnsi="Times New Roman" w:cs="Times New Roman"/>
          <w:b/>
          <w:bCs/>
          <w:kern w:val="0"/>
          <w:sz w:val="24"/>
          <w14:ligatures w14:val="none"/>
        </w:rPr>
        <w:t>Acknowledgments</w:t>
      </w:r>
    </w:p>
    <w:p w14:paraId="208E64C4"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kern w:val="0"/>
          <w:sz w:val="24"/>
          <w14:ligatures w14:val="none"/>
        </w:rPr>
      </w:pPr>
      <w:r w:rsidRPr="002E470D">
        <w:rPr>
          <w:rFonts w:ascii="Times New Roman" w:eastAsia="宋体" w:hAnsi="Times New Roman" w:cs="Times New Roman"/>
          <w:b/>
          <w:bCs/>
          <w:kern w:val="0"/>
          <w:sz w:val="24"/>
          <w14:ligatures w14:val="none"/>
        </w:rPr>
        <w:t xml:space="preserve">  </w:t>
      </w:r>
      <w:r w:rsidRPr="002E470D">
        <w:rPr>
          <w:rFonts w:ascii="Times New Roman" w:eastAsia="宋体" w:hAnsi="Times New Roman" w:cs="Times New Roman"/>
          <w:kern w:val="0"/>
          <w:sz w:val="24"/>
          <w14:ligatures w14:val="none"/>
        </w:rPr>
        <w:t>The authors would like to acknowledge the patients and their families for participation in TCGA and GEO studies. This study was funded by the Natural Science Foundation of Ningbo (2024J274).</w:t>
      </w:r>
    </w:p>
    <w:p w14:paraId="11BC796A"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Declaration of interests</w:t>
      </w:r>
    </w:p>
    <w:p w14:paraId="068A928E"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The authors have no competing interests.</w:t>
      </w:r>
    </w:p>
    <w:p w14:paraId="0D250A29"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Declaration of generative ai and ai-</w:t>
      </w:r>
      <w:proofErr w:type="spellStart"/>
      <w:r w:rsidRPr="002E470D">
        <w:rPr>
          <w:rFonts w:ascii="Times New Roman" w:eastAsia="宋体" w:hAnsi="Times New Roman" w:cs="Times New Roman"/>
          <w:b/>
          <w:bCs/>
          <w:kern w:val="0"/>
          <w:sz w:val="24"/>
          <w14:ligatures w14:val="none"/>
        </w:rPr>
        <w:t>assis</w:t>
      </w:r>
      <w:proofErr w:type="spellEnd"/>
    </w:p>
    <w:p w14:paraId="61037FB0"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  </w:t>
      </w:r>
      <w:proofErr w:type="gramStart"/>
      <w:r w:rsidRPr="002E470D">
        <w:rPr>
          <w:rFonts w:ascii="Times New Roman" w:eastAsia="宋体" w:hAnsi="Times New Roman" w:cs="Times New Roman"/>
          <w:kern w:val="0"/>
          <w:sz w:val="24"/>
          <w14:ligatures w14:val="none"/>
        </w:rPr>
        <w:t>In the course of</w:t>
      </w:r>
      <w:proofErr w:type="gramEnd"/>
      <w:r w:rsidRPr="002E470D">
        <w:rPr>
          <w:rFonts w:ascii="Times New Roman" w:eastAsia="宋体" w:hAnsi="Times New Roman" w:cs="Times New Roman"/>
          <w:kern w:val="0"/>
          <w:sz w:val="24"/>
          <w14:ligatures w14:val="none"/>
        </w:rPr>
        <w:t xml:space="preserve"> creating this work, AI-assisted tools were utilized to enhance the clarity and quality of the text. </w:t>
      </w:r>
    </w:p>
    <w:p w14:paraId="5E467700" w14:textId="77777777"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Note</w:t>
      </w:r>
    </w:p>
    <w:p w14:paraId="58377560" w14:textId="20373AE9" w:rsidR="001A1961" w:rsidRPr="002E470D" w:rsidRDefault="001A1961" w:rsidP="001A1961">
      <w:pPr>
        <w:keepLines/>
        <w:widowControl/>
        <w:suppressAutoHyphens/>
        <w:kinsoku w:val="0"/>
        <w:spacing w:before="432" w:after="96" w:line="240" w:lineRule="auto"/>
        <w:jc w:val="both"/>
        <w:outlineLvl w:val="1"/>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This article contains supplementary data that are available at Cancer Research Online (http://cancerres.aacrjournals.org/).</w:t>
      </w:r>
    </w:p>
    <w:p w14:paraId="20C60C59" w14:textId="1D1C0D50" w:rsidR="00CE3857" w:rsidRPr="002E470D" w:rsidRDefault="00000000" w:rsidP="001A1961">
      <w:pPr>
        <w:keepLines/>
        <w:widowControl/>
        <w:suppressAutoHyphens/>
        <w:kinsoku w:val="0"/>
        <w:spacing w:before="432" w:after="96" w:line="240" w:lineRule="auto"/>
        <w:jc w:val="both"/>
        <w:outlineLvl w:val="1"/>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References</w:t>
      </w:r>
    </w:p>
    <w:bookmarkEnd w:id="15"/>
    <w:p w14:paraId="21066F5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 </w:t>
      </w:r>
      <w:bookmarkStart w:id="16" w:name="OLE_LINK93"/>
      <w:r w:rsidRPr="002E470D">
        <w:rPr>
          <w:rFonts w:ascii="Times New Roman" w:eastAsia="宋体" w:hAnsi="Times New Roman" w:cs="Times New Roman"/>
          <w:kern w:val="0"/>
          <w:sz w:val="24"/>
          <w14:ligatures w14:val="none"/>
        </w:rPr>
        <w:t>Mori</w:t>
      </w:r>
      <w:bookmarkEnd w:id="16"/>
      <w:r w:rsidRPr="002E470D">
        <w:rPr>
          <w:rFonts w:ascii="Times New Roman" w:eastAsia="宋体" w:hAnsi="Times New Roman" w:cs="Times New Roman"/>
          <w:kern w:val="0"/>
          <w:sz w:val="24"/>
          <w14:ligatures w14:val="none"/>
        </w:rPr>
        <w:t xml:space="preserve"> T, Yamada Y, Kinoshita I, </w:t>
      </w:r>
      <w:proofErr w:type="spellStart"/>
      <w:r w:rsidRPr="002E470D">
        <w:rPr>
          <w:rFonts w:ascii="Times New Roman" w:eastAsia="宋体" w:hAnsi="Times New Roman" w:cs="Times New Roman"/>
          <w:kern w:val="0"/>
          <w:sz w:val="24"/>
          <w14:ligatures w14:val="none"/>
        </w:rPr>
        <w:t>Kohashi</w:t>
      </w:r>
      <w:proofErr w:type="spellEnd"/>
      <w:r w:rsidRPr="002E470D">
        <w:rPr>
          <w:rFonts w:ascii="Times New Roman" w:eastAsia="宋体" w:hAnsi="Times New Roman" w:cs="Times New Roman"/>
          <w:kern w:val="0"/>
          <w:sz w:val="24"/>
          <w14:ligatures w14:val="none"/>
        </w:rPr>
        <w:t xml:space="preserve"> K, Yamamoto H, Ito Y, et al. Clinicopathological and histopathological review of dedifferentiated liposarcoma: a comprehensive study of 123 primary </w:t>
      </w:r>
      <w:proofErr w:type="spellStart"/>
      <w:r w:rsidRPr="002E470D">
        <w:rPr>
          <w:rFonts w:ascii="Times New Roman" w:eastAsia="宋体" w:hAnsi="Times New Roman" w:cs="Times New Roman"/>
          <w:kern w:val="0"/>
          <w:sz w:val="24"/>
          <w14:ligatures w14:val="none"/>
        </w:rPr>
        <w:t>tumours</w:t>
      </w:r>
      <w:proofErr w:type="spellEnd"/>
      <w:r w:rsidRPr="002E470D">
        <w:rPr>
          <w:rFonts w:ascii="Times New Roman" w:eastAsia="宋体" w:hAnsi="Times New Roman" w:cs="Times New Roman"/>
          <w:kern w:val="0"/>
          <w:sz w:val="24"/>
          <w14:ligatures w14:val="none"/>
        </w:rPr>
        <w:t xml:space="preserve">. Histopathology. England; </w:t>
      </w:r>
      <w:proofErr w:type="gramStart"/>
      <w:r w:rsidRPr="002E470D">
        <w:rPr>
          <w:rFonts w:ascii="Times New Roman" w:eastAsia="宋体" w:hAnsi="Times New Roman" w:cs="Times New Roman"/>
          <w:kern w:val="0"/>
          <w:sz w:val="24"/>
          <w14:ligatures w14:val="none"/>
        </w:rPr>
        <w:t>2022;80:538</w:t>
      </w:r>
      <w:proofErr w:type="gramEnd"/>
      <w:r w:rsidRPr="002E470D">
        <w:rPr>
          <w:rFonts w:ascii="Times New Roman" w:eastAsia="宋体" w:hAnsi="Times New Roman" w:cs="Times New Roman"/>
          <w:kern w:val="0"/>
          <w:sz w:val="24"/>
          <w14:ligatures w14:val="none"/>
        </w:rPr>
        <w:t>–57.</w:t>
      </w:r>
    </w:p>
    <w:p w14:paraId="0EEAB8F9"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 </w:t>
      </w:r>
      <w:bookmarkStart w:id="17" w:name="OLE_LINK89"/>
      <w:r w:rsidRPr="002E470D">
        <w:rPr>
          <w:rFonts w:ascii="Times New Roman" w:eastAsia="宋体" w:hAnsi="Times New Roman" w:cs="Times New Roman"/>
          <w:kern w:val="0"/>
          <w:sz w:val="24"/>
          <w14:ligatures w14:val="none"/>
        </w:rPr>
        <w:t>Jirovec</w:t>
      </w:r>
      <w:bookmarkEnd w:id="17"/>
      <w:r w:rsidRPr="002E470D">
        <w:rPr>
          <w:rFonts w:ascii="Times New Roman" w:eastAsia="宋体" w:hAnsi="Times New Roman" w:cs="Times New Roman"/>
          <w:kern w:val="0"/>
          <w:sz w:val="24"/>
          <w14:ligatures w14:val="none"/>
        </w:rPr>
        <w:t xml:space="preserve"> A, Flaman A, Godbout E, Serrano D, </w:t>
      </w:r>
      <w:proofErr w:type="spellStart"/>
      <w:r w:rsidRPr="002E470D">
        <w:rPr>
          <w:rFonts w:ascii="Times New Roman" w:eastAsia="宋体" w:hAnsi="Times New Roman" w:cs="Times New Roman"/>
          <w:kern w:val="0"/>
          <w:sz w:val="24"/>
          <w14:ligatures w14:val="none"/>
        </w:rPr>
        <w:t>Werier</w:t>
      </w:r>
      <w:proofErr w:type="spellEnd"/>
      <w:r w:rsidRPr="002E470D">
        <w:rPr>
          <w:rFonts w:ascii="Times New Roman" w:eastAsia="宋体" w:hAnsi="Times New Roman" w:cs="Times New Roman"/>
          <w:kern w:val="0"/>
          <w:sz w:val="24"/>
          <w14:ligatures w14:val="none"/>
        </w:rPr>
        <w:t xml:space="preserve"> J, </w:t>
      </w:r>
      <w:proofErr w:type="spellStart"/>
      <w:r w:rsidRPr="002E470D">
        <w:rPr>
          <w:rFonts w:ascii="Times New Roman" w:eastAsia="宋体" w:hAnsi="Times New Roman" w:cs="Times New Roman"/>
          <w:kern w:val="0"/>
          <w:sz w:val="24"/>
          <w14:ligatures w14:val="none"/>
        </w:rPr>
        <w:t>Purgina</w:t>
      </w:r>
      <w:proofErr w:type="spellEnd"/>
      <w:r w:rsidRPr="002E470D">
        <w:rPr>
          <w:rFonts w:ascii="Times New Roman" w:eastAsia="宋体" w:hAnsi="Times New Roman" w:cs="Times New Roman"/>
          <w:kern w:val="0"/>
          <w:sz w:val="24"/>
          <w14:ligatures w14:val="none"/>
        </w:rPr>
        <w:t xml:space="preserve"> B, et al. Immune profiling of dedifferentiated liposarcoma and identification of novel antigens for targeted immunotherapy. Sci Rep. England; </w:t>
      </w:r>
      <w:proofErr w:type="gramStart"/>
      <w:r w:rsidRPr="002E470D">
        <w:rPr>
          <w:rFonts w:ascii="Times New Roman" w:eastAsia="宋体" w:hAnsi="Times New Roman" w:cs="Times New Roman"/>
          <w:kern w:val="0"/>
          <w:sz w:val="24"/>
          <w14:ligatures w14:val="none"/>
        </w:rPr>
        <w:t>2024;14:11254</w:t>
      </w:r>
      <w:proofErr w:type="gramEnd"/>
      <w:r w:rsidRPr="002E470D">
        <w:rPr>
          <w:rFonts w:ascii="Times New Roman" w:eastAsia="宋体" w:hAnsi="Times New Roman" w:cs="Times New Roman"/>
          <w:kern w:val="0"/>
          <w:sz w:val="24"/>
          <w14:ligatures w14:val="none"/>
        </w:rPr>
        <w:t>.</w:t>
      </w:r>
    </w:p>
    <w:p w14:paraId="5DC6E3CC"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 </w:t>
      </w:r>
      <w:bookmarkStart w:id="18" w:name="OLE_LINK102"/>
      <w:r w:rsidRPr="002E470D">
        <w:rPr>
          <w:rFonts w:ascii="Times New Roman" w:eastAsia="宋体" w:hAnsi="Times New Roman" w:cs="Times New Roman"/>
          <w:kern w:val="0"/>
          <w:sz w:val="24"/>
          <w14:ligatures w14:val="none"/>
        </w:rPr>
        <w:t>Schroeder</w:t>
      </w:r>
      <w:bookmarkEnd w:id="18"/>
      <w:r w:rsidRPr="002E470D">
        <w:rPr>
          <w:rFonts w:ascii="Times New Roman" w:eastAsia="宋体" w:hAnsi="Times New Roman" w:cs="Times New Roman"/>
          <w:kern w:val="0"/>
          <w:sz w:val="24"/>
          <w14:ligatures w14:val="none"/>
        </w:rPr>
        <w:t xml:space="preserve"> BA, </w:t>
      </w:r>
      <w:proofErr w:type="spellStart"/>
      <w:r w:rsidRPr="002E470D">
        <w:rPr>
          <w:rFonts w:ascii="Times New Roman" w:eastAsia="宋体" w:hAnsi="Times New Roman" w:cs="Times New Roman"/>
          <w:kern w:val="0"/>
          <w:sz w:val="24"/>
          <w14:ligatures w14:val="none"/>
        </w:rPr>
        <w:t>LaFranzo</w:t>
      </w:r>
      <w:proofErr w:type="spellEnd"/>
      <w:r w:rsidRPr="002E470D">
        <w:rPr>
          <w:rFonts w:ascii="Times New Roman" w:eastAsia="宋体" w:hAnsi="Times New Roman" w:cs="Times New Roman"/>
          <w:kern w:val="0"/>
          <w:sz w:val="24"/>
          <w14:ligatures w14:val="none"/>
        </w:rPr>
        <w:t xml:space="preserve"> NA, LaFleur BJ, Gittelman RM, Vignali M, Zhang S, et al. CD4+ T cell and M2 macrophage infiltration predict dedifferentiated liposarcoma patient outcomes. J </w:t>
      </w:r>
      <w:proofErr w:type="spellStart"/>
      <w:r w:rsidRPr="002E470D">
        <w:rPr>
          <w:rFonts w:ascii="Times New Roman" w:eastAsia="宋体" w:hAnsi="Times New Roman" w:cs="Times New Roman"/>
          <w:kern w:val="0"/>
          <w:sz w:val="24"/>
          <w14:ligatures w14:val="none"/>
        </w:rPr>
        <w:t>Immunother</w:t>
      </w:r>
      <w:proofErr w:type="spellEnd"/>
      <w:r w:rsidRPr="002E470D">
        <w:rPr>
          <w:rFonts w:ascii="Times New Roman" w:eastAsia="宋体" w:hAnsi="Times New Roman" w:cs="Times New Roman"/>
          <w:kern w:val="0"/>
          <w:sz w:val="24"/>
          <w14:ligatures w14:val="none"/>
        </w:rPr>
        <w:t xml:space="preserve"> Cancer. England; 2021;9.</w:t>
      </w:r>
    </w:p>
    <w:p w14:paraId="321E03E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4. </w:t>
      </w:r>
      <w:bookmarkStart w:id="19" w:name="OLE_LINK101"/>
      <w:r w:rsidRPr="002E470D">
        <w:rPr>
          <w:rFonts w:ascii="Times New Roman" w:eastAsia="宋体" w:hAnsi="Times New Roman" w:cs="Times New Roman"/>
          <w:kern w:val="0"/>
          <w:sz w:val="24"/>
          <w14:ligatures w14:val="none"/>
        </w:rPr>
        <w:t>Sanfilippo</w:t>
      </w:r>
      <w:bookmarkEnd w:id="19"/>
      <w:r w:rsidRPr="002E470D">
        <w:rPr>
          <w:rFonts w:ascii="Times New Roman" w:eastAsia="宋体" w:hAnsi="Times New Roman" w:cs="Times New Roman"/>
          <w:kern w:val="0"/>
          <w:sz w:val="24"/>
          <w14:ligatures w14:val="none"/>
        </w:rPr>
        <w:t xml:space="preserve"> R, Hayward RL, </w:t>
      </w:r>
      <w:proofErr w:type="spellStart"/>
      <w:r w:rsidRPr="002E470D">
        <w:rPr>
          <w:rFonts w:ascii="Times New Roman" w:eastAsia="宋体" w:hAnsi="Times New Roman" w:cs="Times New Roman"/>
          <w:kern w:val="0"/>
          <w:sz w:val="24"/>
          <w14:ligatures w14:val="none"/>
        </w:rPr>
        <w:t>Musoro</w:t>
      </w:r>
      <w:proofErr w:type="spellEnd"/>
      <w:r w:rsidRPr="002E470D">
        <w:rPr>
          <w:rFonts w:ascii="Times New Roman" w:eastAsia="宋体" w:hAnsi="Times New Roman" w:cs="Times New Roman"/>
          <w:kern w:val="0"/>
          <w:sz w:val="24"/>
          <w14:ligatures w14:val="none"/>
        </w:rPr>
        <w:t xml:space="preserve"> J, Benson C, Leahy MG, Brunello A, et al. Activity of </w:t>
      </w:r>
      <w:proofErr w:type="spellStart"/>
      <w:r w:rsidRPr="002E470D">
        <w:rPr>
          <w:rFonts w:ascii="Times New Roman" w:eastAsia="宋体" w:hAnsi="Times New Roman" w:cs="Times New Roman"/>
          <w:kern w:val="0"/>
          <w:sz w:val="24"/>
          <w14:ligatures w14:val="none"/>
        </w:rPr>
        <w:t>Cabazitaxel</w:t>
      </w:r>
      <w:proofErr w:type="spellEnd"/>
      <w:r w:rsidRPr="002E470D">
        <w:rPr>
          <w:rFonts w:ascii="Times New Roman" w:eastAsia="宋体" w:hAnsi="Times New Roman" w:cs="Times New Roman"/>
          <w:kern w:val="0"/>
          <w:sz w:val="24"/>
          <w14:ligatures w14:val="none"/>
        </w:rPr>
        <w:t xml:space="preserve"> in Metastatic or Inoperable Locally Advanced Dedifferentiated Liposarcoma: A Phase 2 Study of the EORTC Soft Tissue and </w:t>
      </w:r>
      <w:proofErr w:type="gramStart"/>
      <w:r w:rsidRPr="002E470D">
        <w:rPr>
          <w:rFonts w:ascii="Times New Roman" w:eastAsia="宋体" w:hAnsi="Times New Roman" w:cs="Times New Roman"/>
          <w:kern w:val="0"/>
          <w:sz w:val="24"/>
          <w14:ligatures w14:val="none"/>
        </w:rPr>
        <w:t>Bone  Sarcoma</w:t>
      </w:r>
      <w:proofErr w:type="gramEnd"/>
      <w:r w:rsidRPr="002E470D">
        <w:rPr>
          <w:rFonts w:ascii="Times New Roman" w:eastAsia="宋体" w:hAnsi="Times New Roman" w:cs="Times New Roman"/>
          <w:kern w:val="0"/>
          <w:sz w:val="24"/>
          <w14:ligatures w14:val="none"/>
        </w:rPr>
        <w:t xml:space="preserve"> Group (STBSG). JAMA Oncol. United States; </w:t>
      </w:r>
      <w:proofErr w:type="gramStart"/>
      <w:r w:rsidRPr="002E470D">
        <w:rPr>
          <w:rFonts w:ascii="Times New Roman" w:eastAsia="宋体" w:hAnsi="Times New Roman" w:cs="Times New Roman"/>
          <w:kern w:val="0"/>
          <w:sz w:val="24"/>
          <w14:ligatures w14:val="none"/>
        </w:rPr>
        <w:t>2022;8:1420</w:t>
      </w:r>
      <w:proofErr w:type="gramEnd"/>
      <w:r w:rsidRPr="002E470D">
        <w:rPr>
          <w:rFonts w:ascii="Times New Roman" w:eastAsia="宋体" w:hAnsi="Times New Roman" w:cs="Times New Roman"/>
          <w:kern w:val="0"/>
          <w:sz w:val="24"/>
          <w14:ligatures w14:val="none"/>
        </w:rPr>
        <w:t>–5.</w:t>
      </w:r>
    </w:p>
    <w:p w14:paraId="44891D0C"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5. </w:t>
      </w:r>
      <w:bookmarkStart w:id="20" w:name="OLE_LINK85"/>
      <w:r w:rsidRPr="002E470D">
        <w:rPr>
          <w:rFonts w:ascii="Times New Roman" w:eastAsia="宋体" w:hAnsi="Times New Roman" w:cs="Times New Roman"/>
          <w:kern w:val="0"/>
          <w:sz w:val="24"/>
          <w14:ligatures w14:val="none"/>
        </w:rPr>
        <w:t>Gounder</w:t>
      </w:r>
      <w:bookmarkEnd w:id="20"/>
      <w:r w:rsidRPr="002E470D">
        <w:rPr>
          <w:rFonts w:ascii="Times New Roman" w:eastAsia="宋体" w:hAnsi="Times New Roman" w:cs="Times New Roman"/>
          <w:kern w:val="0"/>
          <w:sz w:val="24"/>
          <w14:ligatures w14:val="none"/>
        </w:rPr>
        <w:t xml:space="preserve"> MM, Razak AA, Somaiah N, Chawla S, Martin-Broto J, </w:t>
      </w:r>
      <w:proofErr w:type="spellStart"/>
      <w:r w:rsidRPr="002E470D">
        <w:rPr>
          <w:rFonts w:ascii="Times New Roman" w:eastAsia="宋体" w:hAnsi="Times New Roman" w:cs="Times New Roman"/>
          <w:kern w:val="0"/>
          <w:sz w:val="24"/>
          <w14:ligatures w14:val="none"/>
        </w:rPr>
        <w:t>Grignani</w:t>
      </w:r>
      <w:proofErr w:type="spellEnd"/>
      <w:r w:rsidRPr="002E470D">
        <w:rPr>
          <w:rFonts w:ascii="Times New Roman" w:eastAsia="宋体" w:hAnsi="Times New Roman" w:cs="Times New Roman"/>
          <w:kern w:val="0"/>
          <w:sz w:val="24"/>
          <w14:ligatures w14:val="none"/>
        </w:rPr>
        <w:t xml:space="preserve"> G, et al. Selinexor in Advanced, Metastatic Dedifferentiated Liposarcoma: A Multinational, Randomized, Double-Blind, Placebo-Controlled Trial. J Clin Oncol. United States; </w:t>
      </w:r>
      <w:proofErr w:type="gramStart"/>
      <w:r w:rsidRPr="002E470D">
        <w:rPr>
          <w:rFonts w:ascii="Times New Roman" w:eastAsia="宋体" w:hAnsi="Times New Roman" w:cs="Times New Roman"/>
          <w:kern w:val="0"/>
          <w:sz w:val="24"/>
          <w14:ligatures w14:val="none"/>
        </w:rPr>
        <w:t>2022;40:2479</w:t>
      </w:r>
      <w:proofErr w:type="gramEnd"/>
      <w:r w:rsidRPr="002E470D">
        <w:rPr>
          <w:rFonts w:ascii="Times New Roman" w:eastAsia="宋体" w:hAnsi="Times New Roman" w:cs="Times New Roman"/>
          <w:kern w:val="0"/>
          <w:sz w:val="24"/>
          <w14:ligatures w14:val="none"/>
        </w:rPr>
        <w:t>–90.</w:t>
      </w:r>
    </w:p>
    <w:p w14:paraId="5B2C248F"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6. </w:t>
      </w:r>
      <w:bookmarkStart w:id="21" w:name="OLE_LINK77"/>
      <w:proofErr w:type="spellStart"/>
      <w:r w:rsidRPr="002E470D">
        <w:rPr>
          <w:rFonts w:ascii="Times New Roman" w:eastAsia="宋体" w:hAnsi="Times New Roman" w:cs="Times New Roman"/>
          <w:kern w:val="0"/>
          <w:sz w:val="24"/>
          <w14:ligatures w14:val="none"/>
        </w:rPr>
        <w:t>Casier</w:t>
      </w:r>
      <w:proofErr w:type="spellEnd"/>
      <w:r w:rsidRPr="002E470D">
        <w:rPr>
          <w:rFonts w:ascii="Times New Roman" w:eastAsia="宋体" w:hAnsi="Times New Roman" w:cs="Times New Roman"/>
          <w:kern w:val="0"/>
          <w:sz w:val="24"/>
          <w14:ligatures w14:val="none"/>
        </w:rPr>
        <w:t xml:space="preserve"> J</w:t>
      </w:r>
      <w:bookmarkEnd w:id="21"/>
      <w:r w:rsidRPr="002E470D">
        <w:rPr>
          <w:rFonts w:ascii="Times New Roman" w:eastAsia="宋体" w:hAnsi="Times New Roman" w:cs="Times New Roman"/>
          <w:kern w:val="0"/>
          <w:sz w:val="24"/>
          <w14:ligatures w14:val="none"/>
        </w:rPr>
        <w:t xml:space="preserve">, Timmermans I, </w:t>
      </w:r>
      <w:proofErr w:type="spellStart"/>
      <w:r w:rsidRPr="002E470D">
        <w:rPr>
          <w:rFonts w:ascii="Times New Roman" w:eastAsia="宋体" w:hAnsi="Times New Roman" w:cs="Times New Roman"/>
          <w:kern w:val="0"/>
          <w:sz w:val="24"/>
          <w14:ligatures w14:val="none"/>
        </w:rPr>
        <w:t>Laenen</w:t>
      </w:r>
      <w:proofErr w:type="spellEnd"/>
      <w:r w:rsidRPr="002E470D">
        <w:rPr>
          <w:rFonts w:ascii="Times New Roman" w:eastAsia="宋体" w:hAnsi="Times New Roman" w:cs="Times New Roman"/>
          <w:kern w:val="0"/>
          <w:sz w:val="24"/>
          <w14:ligatures w14:val="none"/>
        </w:rPr>
        <w:t xml:space="preserve"> A, </w:t>
      </w:r>
      <w:proofErr w:type="spellStart"/>
      <w:r w:rsidRPr="002E470D">
        <w:rPr>
          <w:rFonts w:ascii="Times New Roman" w:eastAsia="宋体" w:hAnsi="Times New Roman" w:cs="Times New Roman"/>
          <w:kern w:val="0"/>
          <w:sz w:val="24"/>
          <w14:ligatures w14:val="none"/>
        </w:rPr>
        <w:t>Hompes</w:t>
      </w:r>
      <w:proofErr w:type="spellEnd"/>
      <w:r w:rsidRPr="002E470D">
        <w:rPr>
          <w:rFonts w:ascii="Times New Roman" w:eastAsia="宋体" w:hAnsi="Times New Roman" w:cs="Times New Roman"/>
          <w:kern w:val="0"/>
          <w:sz w:val="24"/>
          <w14:ligatures w14:val="none"/>
        </w:rPr>
        <w:t xml:space="preserve"> D, </w:t>
      </w:r>
      <w:proofErr w:type="spellStart"/>
      <w:r w:rsidRPr="002E470D">
        <w:rPr>
          <w:rFonts w:ascii="Times New Roman" w:eastAsia="宋体" w:hAnsi="Times New Roman" w:cs="Times New Roman"/>
          <w:kern w:val="0"/>
          <w:sz w:val="24"/>
          <w14:ligatures w14:val="none"/>
        </w:rPr>
        <w:t>Douchy</w:t>
      </w:r>
      <w:proofErr w:type="spellEnd"/>
      <w:r w:rsidRPr="002E470D">
        <w:rPr>
          <w:rFonts w:ascii="Times New Roman" w:eastAsia="宋体" w:hAnsi="Times New Roman" w:cs="Times New Roman"/>
          <w:kern w:val="0"/>
          <w:sz w:val="24"/>
          <w14:ligatures w14:val="none"/>
        </w:rPr>
        <w:t xml:space="preserve"> T, Sciot R, et al. Clinical course and prognostic factors of patients with dedifferentiated liposarcoma: a retrospective analysis. BMC Cancer. England; </w:t>
      </w:r>
      <w:proofErr w:type="gramStart"/>
      <w:r w:rsidRPr="002E470D">
        <w:rPr>
          <w:rFonts w:ascii="Times New Roman" w:eastAsia="宋体" w:hAnsi="Times New Roman" w:cs="Times New Roman"/>
          <w:kern w:val="0"/>
          <w:sz w:val="24"/>
          <w14:ligatures w14:val="none"/>
        </w:rPr>
        <w:t>2025;25:517</w:t>
      </w:r>
      <w:proofErr w:type="gramEnd"/>
      <w:r w:rsidRPr="002E470D">
        <w:rPr>
          <w:rFonts w:ascii="Times New Roman" w:eastAsia="宋体" w:hAnsi="Times New Roman" w:cs="Times New Roman"/>
          <w:kern w:val="0"/>
          <w:sz w:val="24"/>
          <w14:ligatures w14:val="none"/>
        </w:rPr>
        <w:t>.</w:t>
      </w:r>
    </w:p>
    <w:p w14:paraId="47835B90"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7. Wang X, Ye J, Wu Y, Zhang H, Li C, Liu B, et al. Integrated </w:t>
      </w:r>
      <w:proofErr w:type="spellStart"/>
      <w:r w:rsidRPr="002E470D">
        <w:rPr>
          <w:rFonts w:ascii="Times New Roman" w:eastAsia="宋体" w:hAnsi="Times New Roman" w:cs="Times New Roman"/>
          <w:kern w:val="0"/>
          <w:sz w:val="24"/>
          <w14:ligatures w14:val="none"/>
        </w:rPr>
        <w:t>lipidomics</w:t>
      </w:r>
      <w:proofErr w:type="spellEnd"/>
      <w:r w:rsidRPr="002E470D">
        <w:rPr>
          <w:rFonts w:ascii="Times New Roman" w:eastAsia="宋体" w:hAnsi="Times New Roman" w:cs="Times New Roman"/>
          <w:kern w:val="0"/>
          <w:sz w:val="24"/>
          <w14:ligatures w14:val="none"/>
        </w:rPr>
        <w:t xml:space="preserve"> and RNA-seq reveal prognostic biomarkers in well-differentiated and dedifferentiated retroperitoneal liposarcoma. Cancer Cell Int. England; </w:t>
      </w:r>
      <w:proofErr w:type="gramStart"/>
      <w:r w:rsidRPr="002E470D">
        <w:rPr>
          <w:rFonts w:ascii="Times New Roman" w:eastAsia="宋体" w:hAnsi="Times New Roman" w:cs="Times New Roman"/>
          <w:kern w:val="0"/>
          <w:sz w:val="24"/>
          <w14:ligatures w14:val="none"/>
        </w:rPr>
        <w:t>2024;24:404</w:t>
      </w:r>
      <w:proofErr w:type="gramEnd"/>
      <w:r w:rsidRPr="002E470D">
        <w:rPr>
          <w:rFonts w:ascii="Times New Roman" w:eastAsia="宋体" w:hAnsi="Times New Roman" w:cs="Times New Roman"/>
          <w:kern w:val="0"/>
          <w:sz w:val="24"/>
          <w14:ligatures w14:val="none"/>
        </w:rPr>
        <w:t>.</w:t>
      </w:r>
    </w:p>
    <w:p w14:paraId="155C8672"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8. </w:t>
      </w:r>
      <w:bookmarkStart w:id="22" w:name="OLE_LINK92"/>
      <w:r w:rsidRPr="002E470D">
        <w:rPr>
          <w:rFonts w:ascii="Times New Roman" w:eastAsia="宋体" w:hAnsi="Times New Roman" w:cs="Times New Roman"/>
          <w:kern w:val="0"/>
          <w:sz w:val="24"/>
          <w14:ligatures w14:val="none"/>
        </w:rPr>
        <w:t>Manteaux</w:t>
      </w:r>
      <w:bookmarkEnd w:id="22"/>
      <w:r w:rsidRPr="002E470D">
        <w:rPr>
          <w:rFonts w:ascii="Times New Roman" w:eastAsia="宋体" w:hAnsi="Times New Roman" w:cs="Times New Roman"/>
          <w:kern w:val="0"/>
          <w:sz w:val="24"/>
          <w14:ligatures w14:val="none"/>
        </w:rPr>
        <w:t xml:space="preserve"> G, Amsel A, Riquier-Morcant B, Prieto Romero J, </w:t>
      </w:r>
      <w:proofErr w:type="spellStart"/>
      <w:r w:rsidRPr="002E470D">
        <w:rPr>
          <w:rFonts w:ascii="Times New Roman" w:eastAsia="宋体" w:hAnsi="Times New Roman" w:cs="Times New Roman"/>
          <w:kern w:val="0"/>
          <w:sz w:val="24"/>
          <w14:ligatures w14:val="none"/>
        </w:rPr>
        <w:t>Gayte</w:t>
      </w:r>
      <w:proofErr w:type="spellEnd"/>
      <w:r w:rsidRPr="002E470D">
        <w:rPr>
          <w:rFonts w:ascii="Times New Roman" w:eastAsia="宋体" w:hAnsi="Times New Roman" w:cs="Times New Roman"/>
          <w:kern w:val="0"/>
          <w:sz w:val="24"/>
          <w14:ligatures w14:val="none"/>
        </w:rPr>
        <w:t xml:space="preserve"> L, </w:t>
      </w:r>
      <w:proofErr w:type="spellStart"/>
      <w:r w:rsidRPr="002E470D">
        <w:rPr>
          <w:rFonts w:ascii="Times New Roman" w:eastAsia="宋体" w:hAnsi="Times New Roman" w:cs="Times New Roman"/>
          <w:kern w:val="0"/>
          <w:sz w:val="24"/>
          <w14:ligatures w14:val="none"/>
        </w:rPr>
        <w:t>Fourneaux</w:t>
      </w:r>
      <w:proofErr w:type="spellEnd"/>
      <w:r w:rsidRPr="002E470D">
        <w:rPr>
          <w:rFonts w:ascii="Times New Roman" w:eastAsia="宋体" w:hAnsi="Times New Roman" w:cs="Times New Roman"/>
          <w:kern w:val="0"/>
          <w:sz w:val="24"/>
          <w14:ligatures w14:val="none"/>
        </w:rPr>
        <w:t xml:space="preserve"> B, et al. A metabolic crosstalk between liposarcoma and muscle sustains tumor growth. Nat Commun. England; </w:t>
      </w:r>
      <w:proofErr w:type="gramStart"/>
      <w:r w:rsidRPr="002E470D">
        <w:rPr>
          <w:rFonts w:ascii="Times New Roman" w:eastAsia="宋体" w:hAnsi="Times New Roman" w:cs="Times New Roman"/>
          <w:kern w:val="0"/>
          <w:sz w:val="24"/>
          <w14:ligatures w14:val="none"/>
        </w:rPr>
        <w:t>2024;15:7940</w:t>
      </w:r>
      <w:proofErr w:type="gramEnd"/>
      <w:r w:rsidRPr="002E470D">
        <w:rPr>
          <w:rFonts w:ascii="Times New Roman" w:eastAsia="宋体" w:hAnsi="Times New Roman" w:cs="Times New Roman"/>
          <w:kern w:val="0"/>
          <w:sz w:val="24"/>
          <w14:ligatures w14:val="none"/>
        </w:rPr>
        <w:t>.</w:t>
      </w:r>
    </w:p>
    <w:p w14:paraId="199E82CE"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9. </w:t>
      </w:r>
      <w:bookmarkStart w:id="23" w:name="OLE_LINK96"/>
      <w:r w:rsidRPr="002E470D">
        <w:rPr>
          <w:rFonts w:ascii="Times New Roman" w:eastAsia="宋体" w:hAnsi="Times New Roman" w:cs="Times New Roman"/>
          <w:kern w:val="0"/>
          <w:sz w:val="24"/>
          <w14:ligatures w14:val="none"/>
        </w:rPr>
        <w:t>Pope</w:t>
      </w:r>
      <w:bookmarkEnd w:id="23"/>
      <w:r w:rsidRPr="002E470D">
        <w:rPr>
          <w:rFonts w:ascii="Times New Roman" w:eastAsia="宋体" w:hAnsi="Times New Roman" w:cs="Times New Roman"/>
          <w:kern w:val="0"/>
          <w:sz w:val="24"/>
          <w14:ligatures w14:val="none"/>
        </w:rPr>
        <w:t xml:space="preserve"> LE, Dixon SJ. Regulation of ferroptosis by lipid metabolism. Trends Cell Biol. England; </w:t>
      </w:r>
      <w:proofErr w:type="gramStart"/>
      <w:r w:rsidRPr="002E470D">
        <w:rPr>
          <w:rFonts w:ascii="Times New Roman" w:eastAsia="宋体" w:hAnsi="Times New Roman" w:cs="Times New Roman"/>
          <w:kern w:val="0"/>
          <w:sz w:val="24"/>
          <w14:ligatures w14:val="none"/>
        </w:rPr>
        <w:t>2023;33:1077</w:t>
      </w:r>
      <w:proofErr w:type="gramEnd"/>
      <w:r w:rsidRPr="002E470D">
        <w:rPr>
          <w:rFonts w:ascii="Times New Roman" w:eastAsia="宋体" w:hAnsi="Times New Roman" w:cs="Times New Roman"/>
          <w:kern w:val="0"/>
          <w:sz w:val="24"/>
          <w14:ligatures w14:val="none"/>
        </w:rPr>
        <w:t>–87.</w:t>
      </w:r>
    </w:p>
    <w:p w14:paraId="710CE5EF"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10</w:t>
      </w:r>
      <w:bookmarkStart w:id="24" w:name="OLE_LINK106"/>
      <w:r w:rsidRPr="002E470D">
        <w:rPr>
          <w:rFonts w:ascii="Times New Roman" w:eastAsia="宋体" w:hAnsi="Times New Roman" w:cs="Times New Roman"/>
          <w:kern w:val="0"/>
          <w:sz w:val="24"/>
          <w14:ligatures w14:val="none"/>
        </w:rPr>
        <w:t>. Xiao</w:t>
      </w:r>
      <w:bookmarkEnd w:id="24"/>
      <w:r w:rsidRPr="002E470D">
        <w:rPr>
          <w:rFonts w:ascii="Times New Roman" w:eastAsia="宋体" w:hAnsi="Times New Roman" w:cs="Times New Roman"/>
          <w:kern w:val="0"/>
          <w:sz w:val="24"/>
          <w14:ligatures w14:val="none"/>
        </w:rPr>
        <w:t xml:space="preserve"> W, Sheng J, Liu C, Li J, Shu P, Jiang M, et al. mTORC2 regulates lipid metabolism-driven TAMs via the PPAR-γ/CD36 pathway to promote liposarcoma progression. Adipocyte. United States; </w:t>
      </w:r>
      <w:proofErr w:type="gramStart"/>
      <w:r w:rsidRPr="002E470D">
        <w:rPr>
          <w:rFonts w:ascii="Times New Roman" w:eastAsia="宋体" w:hAnsi="Times New Roman" w:cs="Times New Roman"/>
          <w:kern w:val="0"/>
          <w:sz w:val="24"/>
          <w14:ligatures w14:val="none"/>
        </w:rPr>
        <w:t>2026;15:2665903</w:t>
      </w:r>
      <w:proofErr w:type="gramEnd"/>
      <w:r w:rsidRPr="002E470D">
        <w:rPr>
          <w:rFonts w:ascii="Times New Roman" w:eastAsia="宋体" w:hAnsi="Times New Roman" w:cs="Times New Roman"/>
          <w:kern w:val="0"/>
          <w:sz w:val="24"/>
          <w14:ligatures w14:val="none"/>
        </w:rPr>
        <w:t>.</w:t>
      </w:r>
    </w:p>
    <w:p w14:paraId="16DDFE82"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11. </w:t>
      </w:r>
      <w:bookmarkStart w:id="25" w:name="OLE_LINK58"/>
      <w:r w:rsidRPr="002E470D">
        <w:rPr>
          <w:rFonts w:ascii="Times New Roman" w:eastAsia="宋体" w:hAnsi="Times New Roman" w:cs="Times New Roman"/>
          <w:kern w:val="0"/>
          <w:sz w:val="24"/>
          <w14:ligatures w14:val="none"/>
        </w:rPr>
        <w:t>Campbell D</w:t>
      </w:r>
      <w:bookmarkEnd w:id="25"/>
      <w:r w:rsidRPr="002E470D">
        <w:rPr>
          <w:rFonts w:ascii="Times New Roman" w:eastAsia="宋体" w:hAnsi="Times New Roman" w:cs="Times New Roman"/>
          <w:kern w:val="0"/>
          <w:sz w:val="24"/>
          <w14:ligatures w14:val="none"/>
        </w:rPr>
        <w:t xml:space="preserve">, Ramsey S, Veenstra D, Pan </w:t>
      </w:r>
      <w:proofErr w:type="spellStart"/>
      <w:r w:rsidRPr="002E470D">
        <w:rPr>
          <w:rFonts w:ascii="Times New Roman" w:eastAsia="宋体" w:hAnsi="Times New Roman" w:cs="Times New Roman"/>
          <w:kern w:val="0"/>
          <w:sz w:val="24"/>
          <w14:ligatures w14:val="none"/>
        </w:rPr>
        <w:t>M</w:t>
      </w:r>
      <w:proofErr w:type="spellEnd"/>
      <w:r w:rsidRPr="002E470D">
        <w:rPr>
          <w:rFonts w:ascii="Times New Roman" w:eastAsia="宋体" w:hAnsi="Times New Roman" w:cs="Times New Roman"/>
          <w:kern w:val="0"/>
          <w:sz w:val="24"/>
          <w14:ligatures w14:val="none"/>
        </w:rPr>
        <w:t>, Sen S, Litton G, et al. Diagnosis, Treatment, and Unmet Needs of Dedifferentiated Liposarcoma in the United States: A Multidisciplinary Delphi Study. Cancers (Basel). Switzerland; 2025;17.</w:t>
      </w:r>
    </w:p>
    <w:p w14:paraId="5D797E4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12. </w:t>
      </w:r>
      <w:bookmarkStart w:id="26" w:name="OLE_LINK83"/>
      <w:proofErr w:type="spellStart"/>
      <w:r w:rsidRPr="002E470D">
        <w:rPr>
          <w:rFonts w:ascii="Times New Roman" w:eastAsia="宋体" w:hAnsi="Times New Roman" w:cs="Times New Roman"/>
          <w:kern w:val="0"/>
          <w:sz w:val="24"/>
          <w14:ligatures w14:val="none"/>
        </w:rPr>
        <w:t>Frapolli</w:t>
      </w:r>
      <w:bookmarkEnd w:id="26"/>
      <w:proofErr w:type="spellEnd"/>
      <w:r w:rsidRPr="002E470D">
        <w:rPr>
          <w:rFonts w:ascii="Times New Roman" w:eastAsia="宋体" w:hAnsi="Times New Roman" w:cs="Times New Roman"/>
          <w:kern w:val="0"/>
          <w:sz w:val="24"/>
          <w14:ligatures w14:val="none"/>
        </w:rPr>
        <w:t xml:space="preserve"> R, Bello E, Ponzo M, Craparotta I, Mannarino L, Ballabio S, et al. Correction: Combination of </w:t>
      </w:r>
      <w:proofErr w:type="spellStart"/>
      <w:r w:rsidRPr="002E470D">
        <w:rPr>
          <w:rFonts w:ascii="Times New Roman" w:eastAsia="宋体" w:hAnsi="Times New Roman" w:cs="Times New Roman"/>
          <w:kern w:val="0"/>
          <w:sz w:val="24"/>
          <w14:ligatures w14:val="none"/>
        </w:rPr>
        <w:t>PPARγ</w:t>
      </w:r>
      <w:proofErr w:type="spellEnd"/>
      <w:r w:rsidRPr="002E470D">
        <w:rPr>
          <w:rFonts w:ascii="Times New Roman" w:eastAsia="宋体" w:hAnsi="Times New Roman" w:cs="Times New Roman"/>
          <w:kern w:val="0"/>
          <w:sz w:val="24"/>
          <w14:ligatures w14:val="none"/>
        </w:rPr>
        <w:t xml:space="preserve"> Agonist Pioglitazone and Trabectedin Induce Adipocyte Differentiation to Overcome Trabectedin Resistance in </w:t>
      </w:r>
      <w:proofErr w:type="gramStart"/>
      <w:r w:rsidRPr="002E470D">
        <w:rPr>
          <w:rFonts w:ascii="Times New Roman" w:eastAsia="宋体" w:hAnsi="Times New Roman" w:cs="Times New Roman"/>
          <w:kern w:val="0"/>
          <w:sz w:val="24"/>
          <w14:ligatures w14:val="none"/>
        </w:rPr>
        <w:t>Myxoid  Liposarcomas</w:t>
      </w:r>
      <w:proofErr w:type="gramEnd"/>
      <w:r w:rsidRPr="002E470D">
        <w:rPr>
          <w:rFonts w:ascii="Times New Roman" w:eastAsia="宋体" w:hAnsi="Times New Roman" w:cs="Times New Roman"/>
          <w:kern w:val="0"/>
          <w:sz w:val="24"/>
          <w14:ligatures w14:val="none"/>
        </w:rPr>
        <w:t xml:space="preserve">. Clin Cancer Res. United States; </w:t>
      </w:r>
      <w:proofErr w:type="gramStart"/>
      <w:r w:rsidRPr="002E470D">
        <w:rPr>
          <w:rFonts w:ascii="Times New Roman" w:eastAsia="宋体" w:hAnsi="Times New Roman" w:cs="Times New Roman"/>
          <w:kern w:val="0"/>
          <w:sz w:val="24"/>
          <w14:ligatures w14:val="none"/>
        </w:rPr>
        <w:t>2020;26:1199</w:t>
      </w:r>
      <w:proofErr w:type="gramEnd"/>
      <w:r w:rsidRPr="002E470D">
        <w:rPr>
          <w:rFonts w:ascii="Times New Roman" w:eastAsia="宋体" w:hAnsi="Times New Roman" w:cs="Times New Roman"/>
          <w:kern w:val="0"/>
          <w:sz w:val="24"/>
          <w14:ligatures w14:val="none"/>
        </w:rPr>
        <w:t>.</w:t>
      </w:r>
    </w:p>
    <w:p w14:paraId="18EEDE83"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13. </w:t>
      </w:r>
      <w:bookmarkStart w:id="27" w:name="OLE_LINK87"/>
      <w:r w:rsidRPr="002E470D">
        <w:rPr>
          <w:rFonts w:ascii="Times New Roman" w:eastAsia="宋体" w:hAnsi="Times New Roman" w:cs="Times New Roman"/>
          <w:kern w:val="0"/>
          <w:sz w:val="24"/>
          <w14:ligatures w14:val="none"/>
        </w:rPr>
        <w:t>Greto</w:t>
      </w:r>
      <w:bookmarkEnd w:id="27"/>
      <w:r w:rsidRPr="002E470D">
        <w:rPr>
          <w:rFonts w:ascii="Times New Roman" w:eastAsia="宋体" w:hAnsi="Times New Roman" w:cs="Times New Roman"/>
          <w:kern w:val="0"/>
          <w:sz w:val="24"/>
          <w14:ligatures w14:val="none"/>
        </w:rPr>
        <w:t xml:space="preserve"> D, Saieva C, Loi M, </w:t>
      </w:r>
      <w:proofErr w:type="spellStart"/>
      <w:r w:rsidRPr="002E470D">
        <w:rPr>
          <w:rFonts w:ascii="Times New Roman" w:eastAsia="宋体" w:hAnsi="Times New Roman" w:cs="Times New Roman"/>
          <w:kern w:val="0"/>
          <w:sz w:val="24"/>
          <w14:ligatures w14:val="none"/>
        </w:rPr>
        <w:t>Terziani</w:t>
      </w:r>
      <w:proofErr w:type="spellEnd"/>
      <w:r w:rsidRPr="002E470D">
        <w:rPr>
          <w:rFonts w:ascii="Times New Roman" w:eastAsia="宋体" w:hAnsi="Times New Roman" w:cs="Times New Roman"/>
          <w:kern w:val="0"/>
          <w:sz w:val="24"/>
          <w14:ligatures w14:val="none"/>
        </w:rPr>
        <w:t xml:space="preserve"> F, </w:t>
      </w:r>
      <w:proofErr w:type="spellStart"/>
      <w:r w:rsidRPr="002E470D">
        <w:rPr>
          <w:rFonts w:ascii="Times New Roman" w:eastAsia="宋体" w:hAnsi="Times New Roman" w:cs="Times New Roman"/>
          <w:kern w:val="0"/>
          <w:sz w:val="24"/>
          <w14:ligatures w14:val="none"/>
        </w:rPr>
        <w:t>Visani</w:t>
      </w:r>
      <w:proofErr w:type="spellEnd"/>
      <w:r w:rsidRPr="002E470D">
        <w:rPr>
          <w:rFonts w:ascii="Times New Roman" w:eastAsia="宋体" w:hAnsi="Times New Roman" w:cs="Times New Roman"/>
          <w:kern w:val="0"/>
          <w:sz w:val="24"/>
          <w14:ligatures w14:val="none"/>
        </w:rPr>
        <w:t xml:space="preserve"> L, </w:t>
      </w:r>
      <w:proofErr w:type="spellStart"/>
      <w:r w:rsidRPr="002E470D">
        <w:rPr>
          <w:rFonts w:ascii="Times New Roman" w:eastAsia="宋体" w:hAnsi="Times New Roman" w:cs="Times New Roman"/>
          <w:kern w:val="0"/>
          <w:sz w:val="24"/>
          <w14:ligatures w14:val="none"/>
        </w:rPr>
        <w:t>Garlatti</w:t>
      </w:r>
      <w:proofErr w:type="spellEnd"/>
      <w:r w:rsidRPr="002E470D">
        <w:rPr>
          <w:rFonts w:ascii="Times New Roman" w:eastAsia="宋体" w:hAnsi="Times New Roman" w:cs="Times New Roman"/>
          <w:kern w:val="0"/>
          <w:sz w:val="24"/>
          <w14:ligatures w14:val="none"/>
        </w:rPr>
        <w:t xml:space="preserve"> P, et al. Influence of age and subtype in outcome of operable liposarcoma. </w:t>
      </w:r>
      <w:proofErr w:type="spellStart"/>
      <w:r w:rsidRPr="002E470D">
        <w:rPr>
          <w:rFonts w:ascii="Times New Roman" w:eastAsia="宋体" w:hAnsi="Times New Roman" w:cs="Times New Roman"/>
          <w:kern w:val="0"/>
          <w:sz w:val="24"/>
          <w14:ligatures w14:val="none"/>
        </w:rPr>
        <w:t>Radiol</w:t>
      </w:r>
      <w:proofErr w:type="spellEnd"/>
      <w:r w:rsidRPr="002E470D">
        <w:rPr>
          <w:rFonts w:ascii="Times New Roman" w:eastAsia="宋体" w:hAnsi="Times New Roman" w:cs="Times New Roman"/>
          <w:kern w:val="0"/>
          <w:sz w:val="24"/>
          <w14:ligatures w14:val="none"/>
        </w:rPr>
        <w:t xml:space="preserve"> Med. Italy; </w:t>
      </w:r>
      <w:proofErr w:type="gramStart"/>
      <w:r w:rsidRPr="002E470D">
        <w:rPr>
          <w:rFonts w:ascii="Times New Roman" w:eastAsia="宋体" w:hAnsi="Times New Roman" w:cs="Times New Roman"/>
          <w:kern w:val="0"/>
          <w:sz w:val="24"/>
          <w14:ligatures w14:val="none"/>
        </w:rPr>
        <w:t>2019;124:290</w:t>
      </w:r>
      <w:proofErr w:type="gramEnd"/>
      <w:r w:rsidRPr="002E470D">
        <w:rPr>
          <w:rFonts w:ascii="Times New Roman" w:eastAsia="宋体" w:hAnsi="Times New Roman" w:cs="Times New Roman"/>
          <w:kern w:val="0"/>
          <w:sz w:val="24"/>
          <w14:ligatures w14:val="none"/>
        </w:rPr>
        <w:t>–300.</w:t>
      </w:r>
    </w:p>
    <w:p w14:paraId="1EDB0436"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14.</w:t>
      </w:r>
      <w:bookmarkStart w:id="28" w:name="OLE_LINK94"/>
      <w:r w:rsidRPr="002E470D">
        <w:rPr>
          <w:rFonts w:ascii="Times New Roman" w:eastAsia="宋体" w:hAnsi="Times New Roman" w:cs="Times New Roman"/>
          <w:kern w:val="0"/>
          <w:sz w:val="24"/>
          <w14:ligatures w14:val="none"/>
        </w:rPr>
        <w:t>Pan M</w:t>
      </w:r>
      <w:bookmarkEnd w:id="28"/>
      <w:r w:rsidRPr="002E470D">
        <w:rPr>
          <w:rFonts w:ascii="Times New Roman" w:eastAsia="宋体" w:hAnsi="Times New Roman" w:cs="Times New Roman"/>
          <w:kern w:val="0"/>
          <w:sz w:val="24"/>
          <w14:ligatures w14:val="none"/>
        </w:rPr>
        <w:t xml:space="preserve">, Zhou MY, Jiang C, Zhang Z, Bui NQ, Bien J, et al. Sex-dependent Prognosis of Patients with Advanced Soft Tissue Sarcoma. Clin Cancer Res. United States; </w:t>
      </w:r>
      <w:proofErr w:type="gramStart"/>
      <w:r w:rsidRPr="002E470D">
        <w:rPr>
          <w:rFonts w:ascii="Times New Roman" w:eastAsia="宋体" w:hAnsi="Times New Roman" w:cs="Times New Roman"/>
          <w:kern w:val="0"/>
          <w:sz w:val="24"/>
          <w14:ligatures w14:val="none"/>
        </w:rPr>
        <w:t>2024;30:413</w:t>
      </w:r>
      <w:proofErr w:type="gramEnd"/>
      <w:r w:rsidRPr="002E470D">
        <w:rPr>
          <w:rFonts w:ascii="Times New Roman" w:eastAsia="宋体" w:hAnsi="Times New Roman" w:cs="Times New Roman"/>
          <w:kern w:val="0"/>
          <w:sz w:val="24"/>
          <w14:ligatures w14:val="none"/>
        </w:rPr>
        <w:t>–9.</w:t>
      </w:r>
    </w:p>
    <w:p w14:paraId="533D3D12"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15. </w:t>
      </w:r>
      <w:bookmarkStart w:id="29" w:name="OLE_LINK99"/>
      <w:r w:rsidRPr="002E470D">
        <w:rPr>
          <w:rFonts w:ascii="Times New Roman" w:eastAsia="宋体" w:hAnsi="Times New Roman" w:cs="Times New Roman"/>
          <w:kern w:val="0"/>
          <w:sz w:val="24"/>
          <w14:ligatures w14:val="none"/>
        </w:rPr>
        <w:t>Rosen</w:t>
      </w:r>
      <w:bookmarkEnd w:id="29"/>
      <w:r w:rsidRPr="002E470D">
        <w:rPr>
          <w:rFonts w:ascii="Times New Roman" w:eastAsia="宋体" w:hAnsi="Times New Roman" w:cs="Times New Roman"/>
          <w:kern w:val="0"/>
          <w:sz w:val="24"/>
          <w14:ligatures w14:val="none"/>
        </w:rPr>
        <w:t xml:space="preserve"> ED, Spiegelman BM. </w:t>
      </w:r>
      <w:proofErr w:type="spellStart"/>
      <w:proofErr w:type="gramStart"/>
      <w:r w:rsidRPr="002E470D">
        <w:rPr>
          <w:rFonts w:ascii="Times New Roman" w:eastAsia="宋体" w:hAnsi="Times New Roman" w:cs="Times New Roman"/>
          <w:kern w:val="0"/>
          <w:sz w:val="24"/>
          <w14:ligatures w14:val="none"/>
        </w:rPr>
        <w:t>PPARgamma</w:t>
      </w:r>
      <w:proofErr w:type="spellEnd"/>
      <w:r w:rsidRPr="002E470D">
        <w:rPr>
          <w:rFonts w:ascii="Times New Roman" w:eastAsia="宋体" w:hAnsi="Times New Roman" w:cs="Times New Roman"/>
          <w:kern w:val="0"/>
          <w:sz w:val="24"/>
          <w14:ligatures w14:val="none"/>
        </w:rPr>
        <w:t> :</w:t>
      </w:r>
      <w:proofErr w:type="gramEnd"/>
      <w:r w:rsidRPr="002E470D">
        <w:rPr>
          <w:rFonts w:ascii="Times New Roman" w:eastAsia="宋体" w:hAnsi="Times New Roman" w:cs="Times New Roman"/>
          <w:kern w:val="0"/>
          <w:sz w:val="24"/>
          <w14:ligatures w14:val="none"/>
        </w:rPr>
        <w:t xml:space="preserve"> a nuclear regulator of metabolism, differentiation, and cell growth. J Biol Chem. United States; </w:t>
      </w:r>
      <w:proofErr w:type="gramStart"/>
      <w:r w:rsidRPr="002E470D">
        <w:rPr>
          <w:rFonts w:ascii="Times New Roman" w:eastAsia="宋体" w:hAnsi="Times New Roman" w:cs="Times New Roman"/>
          <w:kern w:val="0"/>
          <w:sz w:val="24"/>
          <w14:ligatures w14:val="none"/>
        </w:rPr>
        <w:t>2001;276:37731</w:t>
      </w:r>
      <w:proofErr w:type="gramEnd"/>
      <w:r w:rsidRPr="002E470D">
        <w:rPr>
          <w:rFonts w:ascii="Times New Roman" w:eastAsia="宋体" w:hAnsi="Times New Roman" w:cs="Times New Roman"/>
          <w:kern w:val="0"/>
          <w:sz w:val="24"/>
          <w14:ligatures w14:val="none"/>
        </w:rPr>
        <w:t>–4.</w:t>
      </w:r>
    </w:p>
    <w:p w14:paraId="6F5CB0E1"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16. </w:t>
      </w:r>
      <w:bookmarkStart w:id="30" w:name="OLE_LINK108"/>
      <w:r w:rsidRPr="002E470D">
        <w:rPr>
          <w:rFonts w:ascii="Times New Roman" w:eastAsia="宋体" w:hAnsi="Times New Roman" w:cs="Times New Roman"/>
          <w:kern w:val="0"/>
          <w:sz w:val="24"/>
          <w14:ligatures w14:val="none"/>
        </w:rPr>
        <w:t>Yang Y</w:t>
      </w:r>
      <w:bookmarkEnd w:id="30"/>
      <w:r w:rsidRPr="002E470D">
        <w:rPr>
          <w:rFonts w:ascii="Times New Roman" w:eastAsia="宋体" w:hAnsi="Times New Roman" w:cs="Times New Roman"/>
          <w:kern w:val="0"/>
          <w:sz w:val="24"/>
          <w14:ligatures w14:val="none"/>
        </w:rPr>
        <w:t xml:space="preserve">, Liu X, Yang D, Li L, Li S, Lu S, et al. Interplay of CD36, autophagy, and lipid metabolism: insights into cancer progression. Metabolism. United States; </w:t>
      </w:r>
      <w:proofErr w:type="gramStart"/>
      <w:r w:rsidRPr="002E470D">
        <w:rPr>
          <w:rFonts w:ascii="Times New Roman" w:eastAsia="宋体" w:hAnsi="Times New Roman" w:cs="Times New Roman"/>
          <w:kern w:val="0"/>
          <w:sz w:val="24"/>
          <w14:ligatures w14:val="none"/>
        </w:rPr>
        <w:t>2024;155:155905</w:t>
      </w:r>
      <w:proofErr w:type="gramEnd"/>
      <w:r w:rsidRPr="002E470D">
        <w:rPr>
          <w:rFonts w:ascii="Times New Roman" w:eastAsia="宋体" w:hAnsi="Times New Roman" w:cs="Times New Roman"/>
          <w:kern w:val="0"/>
          <w:sz w:val="24"/>
          <w14:ligatures w14:val="none"/>
        </w:rPr>
        <w:t>.</w:t>
      </w:r>
    </w:p>
    <w:p w14:paraId="51FAA3A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17. </w:t>
      </w:r>
      <w:bookmarkStart w:id="31" w:name="OLE_LINK82"/>
      <w:r w:rsidRPr="002E470D">
        <w:rPr>
          <w:rFonts w:ascii="Times New Roman" w:eastAsia="宋体" w:hAnsi="Times New Roman" w:cs="Times New Roman"/>
          <w:kern w:val="0"/>
          <w:sz w:val="24"/>
          <w14:ligatures w14:val="none"/>
        </w:rPr>
        <w:t>Feng</w:t>
      </w:r>
      <w:bookmarkEnd w:id="31"/>
      <w:r w:rsidRPr="002E470D">
        <w:rPr>
          <w:rFonts w:ascii="Times New Roman" w:eastAsia="宋体" w:hAnsi="Times New Roman" w:cs="Times New Roman"/>
          <w:kern w:val="0"/>
          <w:sz w:val="24"/>
          <w14:ligatures w14:val="none"/>
        </w:rPr>
        <w:t xml:space="preserve"> WW, Zuppe HT, Kurokawa M. The Role of CD36 in Cancer Progression and Its Value as a Therapeutic Target. Cells. Switzerland; 2023;12.</w:t>
      </w:r>
    </w:p>
    <w:p w14:paraId="1765C1BF"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18. </w:t>
      </w:r>
      <w:bookmarkStart w:id="32" w:name="OLE_LINK79"/>
      <w:r w:rsidRPr="002E470D">
        <w:rPr>
          <w:rFonts w:ascii="Times New Roman" w:eastAsia="宋体" w:hAnsi="Times New Roman" w:cs="Times New Roman"/>
          <w:kern w:val="0"/>
          <w:sz w:val="24"/>
          <w14:ligatures w14:val="none"/>
        </w:rPr>
        <w:t>Cullen</w:t>
      </w:r>
      <w:bookmarkEnd w:id="32"/>
      <w:r w:rsidRPr="002E470D">
        <w:rPr>
          <w:rFonts w:ascii="Times New Roman" w:eastAsia="宋体" w:hAnsi="Times New Roman" w:cs="Times New Roman"/>
          <w:kern w:val="0"/>
          <w:sz w:val="24"/>
          <w14:ligatures w14:val="none"/>
        </w:rPr>
        <w:t xml:space="preserve"> MM, Lazarides AL, Pittman PD, Flamant EM, Stoeber KL, Stoeber K, et al. Cell-cycle phase progression analysis identifies three unique phenotypes in soft tissue sarcoma. BMC Cancer. England; </w:t>
      </w:r>
      <w:proofErr w:type="gramStart"/>
      <w:r w:rsidRPr="002E470D">
        <w:rPr>
          <w:rFonts w:ascii="Times New Roman" w:eastAsia="宋体" w:hAnsi="Times New Roman" w:cs="Times New Roman"/>
          <w:kern w:val="0"/>
          <w:sz w:val="24"/>
          <w14:ligatures w14:val="none"/>
        </w:rPr>
        <w:t>2024;24:1288</w:t>
      </w:r>
      <w:proofErr w:type="gramEnd"/>
      <w:r w:rsidRPr="002E470D">
        <w:rPr>
          <w:rFonts w:ascii="Times New Roman" w:eastAsia="宋体" w:hAnsi="Times New Roman" w:cs="Times New Roman"/>
          <w:kern w:val="0"/>
          <w:sz w:val="24"/>
          <w14:ligatures w14:val="none"/>
        </w:rPr>
        <w:t>.</w:t>
      </w:r>
    </w:p>
    <w:p w14:paraId="35C68212"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19. </w:t>
      </w:r>
      <w:bookmarkStart w:id="33" w:name="OLE_LINK78"/>
      <w:r w:rsidRPr="002E470D">
        <w:rPr>
          <w:rFonts w:ascii="Times New Roman" w:eastAsia="宋体" w:hAnsi="Times New Roman" w:cs="Times New Roman"/>
          <w:kern w:val="0"/>
          <w:sz w:val="24"/>
          <w14:ligatures w14:val="none"/>
        </w:rPr>
        <w:t>Chen</w:t>
      </w:r>
      <w:bookmarkEnd w:id="33"/>
      <w:r w:rsidRPr="002E470D">
        <w:rPr>
          <w:rFonts w:ascii="Times New Roman" w:eastAsia="宋体" w:hAnsi="Times New Roman" w:cs="Times New Roman"/>
          <w:kern w:val="0"/>
          <w:sz w:val="24"/>
          <w14:ligatures w14:val="none"/>
        </w:rPr>
        <w:t xml:space="preserve"> J, Lian Y, Zhao B, Han J, Li X, Wu J, et al. Deciphering the Prognostic and Therapeutic Significance of Cell Cycle Regulator CENPF: A Potential Biomarker of Prognosis and Immune Microenvironment </w:t>
      </w:r>
      <w:proofErr w:type="gramStart"/>
      <w:r w:rsidRPr="002E470D">
        <w:rPr>
          <w:rFonts w:ascii="Times New Roman" w:eastAsia="宋体" w:hAnsi="Times New Roman" w:cs="Times New Roman"/>
          <w:kern w:val="0"/>
          <w:sz w:val="24"/>
          <w14:ligatures w14:val="none"/>
        </w:rPr>
        <w:t>for  Patients</w:t>
      </w:r>
      <w:proofErr w:type="gramEnd"/>
      <w:r w:rsidRPr="002E470D">
        <w:rPr>
          <w:rFonts w:ascii="Times New Roman" w:eastAsia="宋体" w:hAnsi="Times New Roman" w:cs="Times New Roman"/>
          <w:kern w:val="0"/>
          <w:sz w:val="24"/>
          <w14:ligatures w14:val="none"/>
        </w:rPr>
        <w:t xml:space="preserve"> with Liposarcoma. Int J Mol Sci. Switzerland; 2023;24.</w:t>
      </w:r>
    </w:p>
    <w:p w14:paraId="1B78C389"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20. </w:t>
      </w:r>
      <w:bookmarkStart w:id="34" w:name="OLE_LINK95"/>
      <w:r w:rsidRPr="002E470D">
        <w:rPr>
          <w:rFonts w:ascii="Times New Roman" w:eastAsia="宋体" w:hAnsi="Times New Roman" w:cs="Times New Roman"/>
          <w:kern w:val="0"/>
          <w:sz w:val="24"/>
          <w14:ligatures w14:val="none"/>
        </w:rPr>
        <w:t>Pimenta</w:t>
      </w:r>
      <w:bookmarkEnd w:id="34"/>
      <w:r w:rsidRPr="002E470D">
        <w:rPr>
          <w:rFonts w:ascii="Times New Roman" w:eastAsia="宋体" w:hAnsi="Times New Roman" w:cs="Times New Roman"/>
          <w:kern w:val="0"/>
          <w:sz w:val="24"/>
          <w14:ligatures w14:val="none"/>
        </w:rPr>
        <w:t xml:space="preserve"> EM, Garza AE, Camp SY, Park J, Hoffman SE, </w:t>
      </w:r>
      <w:proofErr w:type="spellStart"/>
      <w:r w:rsidRPr="002E470D">
        <w:rPr>
          <w:rFonts w:ascii="Times New Roman" w:eastAsia="宋体" w:hAnsi="Times New Roman" w:cs="Times New Roman"/>
          <w:kern w:val="0"/>
          <w:sz w:val="24"/>
          <w14:ligatures w14:val="none"/>
        </w:rPr>
        <w:t>Valderrábano</w:t>
      </w:r>
      <w:proofErr w:type="spellEnd"/>
      <w:r w:rsidRPr="002E470D">
        <w:rPr>
          <w:rFonts w:ascii="Times New Roman" w:eastAsia="宋体" w:hAnsi="Times New Roman" w:cs="Times New Roman"/>
          <w:kern w:val="0"/>
          <w:sz w:val="24"/>
          <w14:ligatures w14:val="none"/>
        </w:rPr>
        <w:t xml:space="preserve"> L, et al. Epigenetic dysregulation of metabolic programs mediates liposarcoma cell plasticity. Sci </w:t>
      </w:r>
      <w:proofErr w:type="spellStart"/>
      <w:r w:rsidRPr="002E470D">
        <w:rPr>
          <w:rFonts w:ascii="Times New Roman" w:eastAsia="宋体" w:hAnsi="Times New Roman" w:cs="Times New Roman"/>
          <w:kern w:val="0"/>
          <w:sz w:val="24"/>
          <w14:ligatures w14:val="none"/>
        </w:rPr>
        <w:t>Transl</w:t>
      </w:r>
      <w:proofErr w:type="spellEnd"/>
      <w:r w:rsidRPr="002E470D">
        <w:rPr>
          <w:rFonts w:ascii="Times New Roman" w:eastAsia="宋体" w:hAnsi="Times New Roman" w:cs="Times New Roman"/>
          <w:kern w:val="0"/>
          <w:sz w:val="24"/>
          <w14:ligatures w14:val="none"/>
        </w:rPr>
        <w:t xml:space="preserve"> Med. United States; 2026;</w:t>
      </w:r>
      <w:proofErr w:type="gramStart"/>
      <w:r w:rsidRPr="002E470D">
        <w:rPr>
          <w:rFonts w:ascii="Times New Roman" w:eastAsia="宋体" w:hAnsi="Times New Roman" w:cs="Times New Roman"/>
          <w:kern w:val="0"/>
          <w:sz w:val="24"/>
          <w14:ligatures w14:val="none"/>
        </w:rPr>
        <w:t>18:eadw</w:t>
      </w:r>
      <w:proofErr w:type="gramEnd"/>
      <w:r w:rsidRPr="002E470D">
        <w:rPr>
          <w:rFonts w:ascii="Times New Roman" w:eastAsia="宋体" w:hAnsi="Times New Roman" w:cs="Times New Roman"/>
          <w:kern w:val="0"/>
          <w:sz w:val="24"/>
          <w14:ligatures w14:val="none"/>
        </w:rPr>
        <w:t>4689.</w:t>
      </w:r>
    </w:p>
    <w:p w14:paraId="02F20DD4"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21. </w:t>
      </w:r>
      <w:bookmarkStart w:id="35" w:name="OLE_LINK88"/>
      <w:r w:rsidRPr="002E470D">
        <w:rPr>
          <w:rFonts w:ascii="Times New Roman" w:eastAsia="宋体" w:hAnsi="Times New Roman" w:cs="Times New Roman"/>
          <w:kern w:val="0"/>
          <w:sz w:val="24"/>
          <w14:ligatures w14:val="none"/>
        </w:rPr>
        <w:t>Han</w:t>
      </w:r>
      <w:bookmarkEnd w:id="35"/>
      <w:r w:rsidRPr="002E470D">
        <w:rPr>
          <w:rFonts w:ascii="Times New Roman" w:eastAsia="宋体" w:hAnsi="Times New Roman" w:cs="Times New Roman"/>
          <w:kern w:val="0"/>
          <w:sz w:val="24"/>
          <w14:ligatures w14:val="none"/>
        </w:rPr>
        <w:t xml:space="preserve"> J, Zhao B, Han X, Sun T, Yue M, Hou M, et al. Comprehensive Analysis of a Six-Gene Signature Predicting Survival and Immune Infiltration of Liposarcoma Patients and Deciphering Its </w:t>
      </w:r>
      <w:proofErr w:type="gramStart"/>
      <w:r w:rsidRPr="002E470D">
        <w:rPr>
          <w:rFonts w:ascii="Times New Roman" w:eastAsia="宋体" w:hAnsi="Times New Roman" w:cs="Times New Roman"/>
          <w:kern w:val="0"/>
          <w:sz w:val="24"/>
          <w14:ligatures w14:val="none"/>
        </w:rPr>
        <w:t>Therapeutic  Significance</w:t>
      </w:r>
      <w:proofErr w:type="gramEnd"/>
      <w:r w:rsidRPr="002E470D">
        <w:rPr>
          <w:rFonts w:ascii="Times New Roman" w:eastAsia="宋体" w:hAnsi="Times New Roman" w:cs="Times New Roman"/>
          <w:kern w:val="0"/>
          <w:sz w:val="24"/>
          <w14:ligatures w14:val="none"/>
        </w:rPr>
        <w:t>. Int J Mol Sci. Switzerland; 2024;25.</w:t>
      </w:r>
    </w:p>
    <w:p w14:paraId="1B093431"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22. </w:t>
      </w:r>
      <w:bookmarkStart w:id="36" w:name="OLE_LINK80"/>
      <w:r w:rsidRPr="002E470D">
        <w:rPr>
          <w:rFonts w:ascii="Times New Roman" w:eastAsia="宋体" w:hAnsi="Times New Roman" w:cs="Times New Roman"/>
          <w:kern w:val="0"/>
          <w:sz w:val="24"/>
          <w14:ligatures w14:val="none"/>
        </w:rPr>
        <w:t>Dang</w:t>
      </w:r>
      <w:bookmarkEnd w:id="36"/>
      <w:r w:rsidRPr="002E470D">
        <w:rPr>
          <w:rFonts w:ascii="Times New Roman" w:eastAsia="宋体" w:hAnsi="Times New Roman" w:cs="Times New Roman"/>
          <w:kern w:val="0"/>
          <w:sz w:val="24"/>
          <w14:ligatures w14:val="none"/>
        </w:rPr>
        <w:t xml:space="preserve"> TN, Tiongco RP, Brown LM, Taylor JL, Lyons JM, Lau FH, et al. Expression of the preadipocyte marker ZFP423 is dysregulated between well-differentiated and dedifferentiated liposarcoma. BMC Cancer. England; </w:t>
      </w:r>
      <w:proofErr w:type="gramStart"/>
      <w:r w:rsidRPr="002E470D">
        <w:rPr>
          <w:rFonts w:ascii="Times New Roman" w:eastAsia="宋体" w:hAnsi="Times New Roman" w:cs="Times New Roman"/>
          <w:kern w:val="0"/>
          <w:sz w:val="24"/>
          <w14:ligatures w14:val="none"/>
        </w:rPr>
        <w:t>2022;22:300</w:t>
      </w:r>
      <w:proofErr w:type="gramEnd"/>
      <w:r w:rsidRPr="002E470D">
        <w:rPr>
          <w:rFonts w:ascii="Times New Roman" w:eastAsia="宋体" w:hAnsi="Times New Roman" w:cs="Times New Roman"/>
          <w:kern w:val="0"/>
          <w:sz w:val="24"/>
          <w14:ligatures w14:val="none"/>
        </w:rPr>
        <w:t>.</w:t>
      </w:r>
    </w:p>
    <w:p w14:paraId="4B23FBC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23. Yu M, Yang D, Chen X, Yang Y, Zhang B, Jiang X, et al. Metabolic reprogramming in cancer: dysregulation of glucose, lipid, and amino acid pathways and therapeutic opportunities. Mol Biomed. Singapore; 2026;7.</w:t>
      </w:r>
    </w:p>
    <w:p w14:paraId="3E7F69DF"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24.</w:t>
      </w:r>
      <w:bookmarkStart w:id="37" w:name="OLE_LINK91"/>
      <w:r w:rsidRPr="002E470D">
        <w:rPr>
          <w:rFonts w:ascii="Times New Roman" w:eastAsia="宋体" w:hAnsi="Times New Roman" w:cs="Times New Roman"/>
          <w:kern w:val="0"/>
          <w:sz w:val="24"/>
          <w14:ligatures w14:val="none"/>
        </w:rPr>
        <w:t>Lee</w:t>
      </w:r>
      <w:bookmarkEnd w:id="37"/>
      <w:r w:rsidRPr="002E470D">
        <w:rPr>
          <w:rFonts w:ascii="Times New Roman" w:eastAsia="宋体" w:hAnsi="Times New Roman" w:cs="Times New Roman"/>
          <w:kern w:val="0"/>
          <w:sz w:val="24"/>
          <w14:ligatures w14:val="none"/>
        </w:rPr>
        <w:t xml:space="preserve"> J, Cheu JW-S, Wong CC-L. The Diverse Roles of Lipid Metabolism Reprogramming in Shaping the Tumor Immune Microenvironment. Cancer Res. United States; </w:t>
      </w:r>
      <w:proofErr w:type="gramStart"/>
      <w:r w:rsidRPr="002E470D">
        <w:rPr>
          <w:rFonts w:ascii="Times New Roman" w:eastAsia="宋体" w:hAnsi="Times New Roman" w:cs="Times New Roman"/>
          <w:kern w:val="0"/>
          <w:sz w:val="24"/>
          <w14:ligatures w14:val="none"/>
        </w:rPr>
        <w:t>2026;86:834</w:t>
      </w:r>
      <w:proofErr w:type="gramEnd"/>
      <w:r w:rsidRPr="002E470D">
        <w:rPr>
          <w:rFonts w:ascii="Times New Roman" w:eastAsia="宋体" w:hAnsi="Times New Roman" w:cs="Times New Roman"/>
          <w:kern w:val="0"/>
          <w:sz w:val="24"/>
          <w14:ligatures w14:val="none"/>
        </w:rPr>
        <w:t>–44.</w:t>
      </w:r>
    </w:p>
    <w:p w14:paraId="390D62A9"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25. </w:t>
      </w:r>
      <w:bookmarkStart w:id="38" w:name="OLE_LINK97"/>
      <w:proofErr w:type="spellStart"/>
      <w:r w:rsidRPr="002E470D">
        <w:rPr>
          <w:rFonts w:ascii="Times New Roman" w:eastAsia="宋体" w:hAnsi="Times New Roman" w:cs="Times New Roman"/>
          <w:kern w:val="0"/>
          <w:sz w:val="24"/>
          <w14:ligatures w14:val="none"/>
        </w:rPr>
        <w:t>Resag</w:t>
      </w:r>
      <w:bookmarkEnd w:id="38"/>
      <w:proofErr w:type="spellEnd"/>
      <w:r w:rsidRPr="002E470D">
        <w:rPr>
          <w:rFonts w:ascii="Times New Roman" w:eastAsia="宋体" w:hAnsi="Times New Roman" w:cs="Times New Roman"/>
          <w:kern w:val="0"/>
          <w:sz w:val="24"/>
          <w14:ligatures w14:val="none"/>
        </w:rPr>
        <w:t xml:space="preserve"> A, </w:t>
      </w:r>
      <w:proofErr w:type="spellStart"/>
      <w:r w:rsidRPr="002E470D">
        <w:rPr>
          <w:rFonts w:ascii="Times New Roman" w:eastAsia="宋体" w:hAnsi="Times New Roman" w:cs="Times New Roman"/>
          <w:kern w:val="0"/>
          <w:sz w:val="24"/>
          <w14:ligatures w14:val="none"/>
        </w:rPr>
        <w:t>Toffanin</w:t>
      </w:r>
      <w:proofErr w:type="spellEnd"/>
      <w:r w:rsidRPr="002E470D">
        <w:rPr>
          <w:rFonts w:ascii="Times New Roman" w:eastAsia="宋体" w:hAnsi="Times New Roman" w:cs="Times New Roman"/>
          <w:kern w:val="0"/>
          <w:sz w:val="24"/>
          <w14:ligatures w14:val="none"/>
        </w:rPr>
        <w:t xml:space="preserve"> G, Benešová I, Müller L, </w:t>
      </w:r>
      <w:proofErr w:type="spellStart"/>
      <w:r w:rsidRPr="002E470D">
        <w:rPr>
          <w:rFonts w:ascii="Times New Roman" w:eastAsia="宋体" w:hAnsi="Times New Roman" w:cs="Times New Roman"/>
          <w:kern w:val="0"/>
          <w:sz w:val="24"/>
          <w14:ligatures w14:val="none"/>
        </w:rPr>
        <w:t>Potkrajcic</w:t>
      </w:r>
      <w:proofErr w:type="spellEnd"/>
      <w:r w:rsidRPr="002E470D">
        <w:rPr>
          <w:rFonts w:ascii="Times New Roman" w:eastAsia="宋体" w:hAnsi="Times New Roman" w:cs="Times New Roman"/>
          <w:kern w:val="0"/>
          <w:sz w:val="24"/>
          <w14:ligatures w14:val="none"/>
        </w:rPr>
        <w:t xml:space="preserve"> V, </w:t>
      </w:r>
      <w:proofErr w:type="spellStart"/>
      <w:r w:rsidRPr="002E470D">
        <w:rPr>
          <w:rFonts w:ascii="Times New Roman" w:eastAsia="宋体" w:hAnsi="Times New Roman" w:cs="Times New Roman"/>
          <w:kern w:val="0"/>
          <w:sz w:val="24"/>
          <w14:ligatures w14:val="none"/>
        </w:rPr>
        <w:t>Ozaniak</w:t>
      </w:r>
      <w:proofErr w:type="spellEnd"/>
      <w:r w:rsidRPr="002E470D">
        <w:rPr>
          <w:rFonts w:ascii="Times New Roman" w:eastAsia="宋体" w:hAnsi="Times New Roman" w:cs="Times New Roman"/>
          <w:kern w:val="0"/>
          <w:sz w:val="24"/>
          <w14:ligatures w14:val="none"/>
        </w:rPr>
        <w:t xml:space="preserve"> A, et al. The Immune Contexture of Liposarcoma and Its Clinical Implications. Cancers (Basel). Switzerland; 2022;14.</w:t>
      </w:r>
    </w:p>
    <w:p w14:paraId="518EAE48"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26. </w:t>
      </w:r>
      <w:bookmarkStart w:id="39" w:name="OLE_LINK81"/>
      <w:r w:rsidRPr="002E470D">
        <w:rPr>
          <w:rFonts w:ascii="Times New Roman" w:eastAsia="宋体" w:hAnsi="Times New Roman" w:cs="Times New Roman"/>
          <w:kern w:val="0"/>
          <w:sz w:val="24"/>
          <w14:ligatures w14:val="none"/>
        </w:rPr>
        <w:t>ENZINGER</w:t>
      </w:r>
      <w:bookmarkEnd w:id="39"/>
      <w:r w:rsidRPr="002E470D">
        <w:rPr>
          <w:rFonts w:ascii="Times New Roman" w:eastAsia="宋体" w:hAnsi="Times New Roman" w:cs="Times New Roman"/>
          <w:kern w:val="0"/>
          <w:sz w:val="24"/>
          <w14:ligatures w14:val="none"/>
        </w:rPr>
        <w:t xml:space="preserve"> FM, WINSLOW DJ. Liposarcoma. A study of 103 cases. </w:t>
      </w:r>
      <w:proofErr w:type="spellStart"/>
      <w:r w:rsidRPr="002E470D">
        <w:rPr>
          <w:rFonts w:ascii="Times New Roman" w:eastAsia="宋体" w:hAnsi="Times New Roman" w:cs="Times New Roman"/>
          <w:kern w:val="0"/>
          <w:sz w:val="24"/>
          <w14:ligatures w14:val="none"/>
        </w:rPr>
        <w:t>Virchows</w:t>
      </w:r>
      <w:proofErr w:type="spellEnd"/>
      <w:r w:rsidRPr="002E470D">
        <w:rPr>
          <w:rFonts w:ascii="Times New Roman" w:eastAsia="宋体" w:hAnsi="Times New Roman" w:cs="Times New Roman"/>
          <w:kern w:val="0"/>
          <w:sz w:val="24"/>
          <w14:ligatures w14:val="none"/>
        </w:rPr>
        <w:t xml:space="preserve"> Arch </w:t>
      </w:r>
      <w:proofErr w:type="spellStart"/>
      <w:r w:rsidRPr="002E470D">
        <w:rPr>
          <w:rFonts w:ascii="Times New Roman" w:eastAsia="宋体" w:hAnsi="Times New Roman" w:cs="Times New Roman"/>
          <w:kern w:val="0"/>
          <w:sz w:val="24"/>
          <w14:ligatures w14:val="none"/>
        </w:rPr>
        <w:t>Pathol</w:t>
      </w:r>
      <w:proofErr w:type="spellEnd"/>
      <w:r w:rsidRPr="002E470D">
        <w:rPr>
          <w:rFonts w:ascii="Times New Roman" w:eastAsia="宋体" w:hAnsi="Times New Roman" w:cs="Times New Roman"/>
          <w:kern w:val="0"/>
          <w:sz w:val="24"/>
          <w14:ligatures w14:val="none"/>
        </w:rPr>
        <w:t xml:space="preserve"> Anat </w:t>
      </w:r>
      <w:proofErr w:type="spellStart"/>
      <w:r w:rsidRPr="002E470D">
        <w:rPr>
          <w:rFonts w:ascii="Times New Roman" w:eastAsia="宋体" w:hAnsi="Times New Roman" w:cs="Times New Roman"/>
          <w:kern w:val="0"/>
          <w:sz w:val="24"/>
          <w14:ligatures w14:val="none"/>
        </w:rPr>
        <w:t>Physiol</w:t>
      </w:r>
      <w:proofErr w:type="spellEnd"/>
      <w:r w:rsidRPr="002E470D">
        <w:rPr>
          <w:rFonts w:ascii="Times New Roman" w:eastAsia="宋体" w:hAnsi="Times New Roman" w:cs="Times New Roman"/>
          <w:kern w:val="0"/>
          <w:sz w:val="24"/>
          <w14:ligatures w14:val="none"/>
        </w:rPr>
        <w:t xml:space="preserve"> Klin Med. Germany; </w:t>
      </w:r>
      <w:proofErr w:type="gramStart"/>
      <w:r w:rsidRPr="002E470D">
        <w:rPr>
          <w:rFonts w:ascii="Times New Roman" w:eastAsia="宋体" w:hAnsi="Times New Roman" w:cs="Times New Roman"/>
          <w:kern w:val="0"/>
          <w:sz w:val="24"/>
          <w14:ligatures w14:val="none"/>
        </w:rPr>
        <w:t>1962;335:367</w:t>
      </w:r>
      <w:proofErr w:type="gramEnd"/>
      <w:r w:rsidRPr="002E470D">
        <w:rPr>
          <w:rFonts w:ascii="Times New Roman" w:eastAsia="宋体" w:hAnsi="Times New Roman" w:cs="Times New Roman"/>
          <w:kern w:val="0"/>
          <w:sz w:val="24"/>
          <w14:ligatures w14:val="none"/>
        </w:rPr>
        <w:t>–88.</w:t>
      </w:r>
    </w:p>
    <w:p w14:paraId="69C0E588"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27. </w:t>
      </w:r>
      <w:bookmarkStart w:id="40" w:name="OLE_LINK104"/>
      <w:proofErr w:type="spellStart"/>
      <w:r w:rsidRPr="002E470D">
        <w:rPr>
          <w:rFonts w:ascii="Times New Roman" w:eastAsia="宋体" w:hAnsi="Times New Roman" w:cs="Times New Roman"/>
          <w:kern w:val="0"/>
          <w:sz w:val="24"/>
          <w14:ligatures w14:val="none"/>
        </w:rPr>
        <w:t>Vasella</w:t>
      </w:r>
      <w:bookmarkEnd w:id="40"/>
      <w:proofErr w:type="spellEnd"/>
      <w:r w:rsidRPr="002E470D">
        <w:rPr>
          <w:rFonts w:ascii="Times New Roman" w:eastAsia="宋体" w:hAnsi="Times New Roman" w:cs="Times New Roman"/>
          <w:kern w:val="0"/>
          <w:sz w:val="24"/>
          <w14:ligatures w14:val="none"/>
        </w:rPr>
        <w:t xml:space="preserve"> M, </w:t>
      </w:r>
      <w:proofErr w:type="spellStart"/>
      <w:r w:rsidRPr="002E470D">
        <w:rPr>
          <w:rFonts w:ascii="Times New Roman" w:eastAsia="宋体" w:hAnsi="Times New Roman" w:cs="Times New Roman"/>
          <w:kern w:val="0"/>
          <w:sz w:val="24"/>
          <w14:ligatures w14:val="none"/>
        </w:rPr>
        <w:t>Gousopoulos</w:t>
      </w:r>
      <w:proofErr w:type="spellEnd"/>
      <w:r w:rsidRPr="002E470D">
        <w:rPr>
          <w:rFonts w:ascii="Times New Roman" w:eastAsia="宋体" w:hAnsi="Times New Roman" w:cs="Times New Roman"/>
          <w:kern w:val="0"/>
          <w:sz w:val="24"/>
          <w14:ligatures w14:val="none"/>
        </w:rPr>
        <w:t xml:space="preserve"> E, Guidi M, Storti G, Song SY, Grieb G, et al. Targeted therapies and checkpoint inhibitors in sarcoma. QJM. England; </w:t>
      </w:r>
      <w:proofErr w:type="gramStart"/>
      <w:r w:rsidRPr="002E470D">
        <w:rPr>
          <w:rFonts w:ascii="Times New Roman" w:eastAsia="宋体" w:hAnsi="Times New Roman" w:cs="Times New Roman"/>
          <w:kern w:val="0"/>
          <w:sz w:val="24"/>
          <w14:ligatures w14:val="none"/>
        </w:rPr>
        <w:t>2022;115:793</w:t>
      </w:r>
      <w:proofErr w:type="gramEnd"/>
      <w:r w:rsidRPr="002E470D">
        <w:rPr>
          <w:rFonts w:ascii="Times New Roman" w:eastAsia="宋体" w:hAnsi="Times New Roman" w:cs="Times New Roman"/>
          <w:kern w:val="0"/>
          <w:sz w:val="24"/>
          <w14:ligatures w14:val="none"/>
        </w:rPr>
        <w:t>–805.</w:t>
      </w:r>
    </w:p>
    <w:p w14:paraId="28328965"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28. </w:t>
      </w:r>
      <w:bookmarkStart w:id="41" w:name="OLE_LINK103"/>
      <w:r w:rsidRPr="002E470D">
        <w:rPr>
          <w:rFonts w:ascii="Times New Roman" w:eastAsia="宋体" w:hAnsi="Times New Roman" w:cs="Times New Roman"/>
          <w:kern w:val="0"/>
          <w:sz w:val="24"/>
          <w14:ligatures w14:val="none"/>
        </w:rPr>
        <w:t>Torres</w:t>
      </w:r>
      <w:bookmarkEnd w:id="41"/>
      <w:r w:rsidRPr="002E470D">
        <w:rPr>
          <w:rFonts w:ascii="Times New Roman" w:eastAsia="宋体" w:hAnsi="Times New Roman" w:cs="Times New Roman"/>
          <w:kern w:val="0"/>
          <w:sz w:val="24"/>
          <w14:ligatures w14:val="none"/>
        </w:rPr>
        <w:t xml:space="preserve"> MB, Leung CH, Zoghbi M, Lazcano R, Ingram D, Wani K, et al. Dedifferentiated liposarcomas treated with immune checkpoint blockade: the MD Anderson experience. Front Immunol. Switzerland; </w:t>
      </w:r>
      <w:proofErr w:type="gramStart"/>
      <w:r w:rsidRPr="002E470D">
        <w:rPr>
          <w:rFonts w:ascii="Times New Roman" w:eastAsia="宋体" w:hAnsi="Times New Roman" w:cs="Times New Roman"/>
          <w:kern w:val="0"/>
          <w:sz w:val="24"/>
          <w14:ligatures w14:val="none"/>
        </w:rPr>
        <w:t>2025;16:1567736</w:t>
      </w:r>
      <w:proofErr w:type="gramEnd"/>
      <w:r w:rsidRPr="002E470D">
        <w:rPr>
          <w:rFonts w:ascii="Times New Roman" w:eastAsia="宋体" w:hAnsi="Times New Roman" w:cs="Times New Roman"/>
          <w:kern w:val="0"/>
          <w:sz w:val="24"/>
          <w14:ligatures w14:val="none"/>
        </w:rPr>
        <w:t>.</w:t>
      </w:r>
    </w:p>
    <w:p w14:paraId="35CDAC40"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29. </w:t>
      </w:r>
      <w:bookmarkStart w:id="42" w:name="OLE_LINK100"/>
      <w:r w:rsidRPr="002E470D">
        <w:rPr>
          <w:rFonts w:ascii="Times New Roman" w:eastAsia="宋体" w:hAnsi="Times New Roman" w:cs="Times New Roman"/>
          <w:kern w:val="0"/>
          <w:sz w:val="24"/>
          <w14:ligatures w14:val="none"/>
        </w:rPr>
        <w:t xml:space="preserve">Rosenbaum </w:t>
      </w:r>
      <w:bookmarkEnd w:id="42"/>
      <w:r w:rsidRPr="002E470D">
        <w:rPr>
          <w:rFonts w:ascii="Times New Roman" w:eastAsia="宋体" w:hAnsi="Times New Roman" w:cs="Times New Roman"/>
          <w:kern w:val="0"/>
          <w:sz w:val="24"/>
          <w14:ligatures w14:val="none"/>
        </w:rPr>
        <w:t xml:space="preserve">E, Gularte-Mérida R, </w:t>
      </w:r>
      <w:proofErr w:type="spellStart"/>
      <w:r w:rsidRPr="002E470D">
        <w:rPr>
          <w:rFonts w:ascii="Times New Roman" w:eastAsia="宋体" w:hAnsi="Times New Roman" w:cs="Times New Roman"/>
          <w:kern w:val="0"/>
          <w:sz w:val="24"/>
          <w14:ligatures w14:val="none"/>
        </w:rPr>
        <w:t>Seffar</w:t>
      </w:r>
      <w:proofErr w:type="spellEnd"/>
      <w:r w:rsidRPr="002E470D">
        <w:rPr>
          <w:rFonts w:ascii="Times New Roman" w:eastAsia="宋体" w:hAnsi="Times New Roman" w:cs="Times New Roman"/>
          <w:kern w:val="0"/>
          <w:sz w:val="24"/>
          <w14:ligatures w14:val="none"/>
        </w:rPr>
        <w:t xml:space="preserve"> E, Lee J, </w:t>
      </w:r>
      <w:proofErr w:type="spellStart"/>
      <w:r w:rsidRPr="002E470D">
        <w:rPr>
          <w:rFonts w:ascii="Times New Roman" w:eastAsia="宋体" w:hAnsi="Times New Roman" w:cs="Times New Roman"/>
          <w:kern w:val="0"/>
          <w:sz w:val="24"/>
          <w14:ligatures w14:val="none"/>
        </w:rPr>
        <w:t>Adamow</w:t>
      </w:r>
      <w:proofErr w:type="spellEnd"/>
      <w:r w:rsidRPr="002E470D">
        <w:rPr>
          <w:rFonts w:ascii="Times New Roman" w:eastAsia="宋体" w:hAnsi="Times New Roman" w:cs="Times New Roman"/>
          <w:kern w:val="0"/>
          <w:sz w:val="24"/>
          <w14:ligatures w14:val="none"/>
        </w:rPr>
        <w:t xml:space="preserve"> M, </w:t>
      </w:r>
      <w:proofErr w:type="spellStart"/>
      <w:r w:rsidRPr="002E470D">
        <w:rPr>
          <w:rFonts w:ascii="Times New Roman" w:eastAsia="宋体" w:hAnsi="Times New Roman" w:cs="Times New Roman"/>
          <w:kern w:val="0"/>
          <w:sz w:val="24"/>
          <w14:ligatures w14:val="none"/>
        </w:rPr>
        <w:t>Bradic</w:t>
      </w:r>
      <w:proofErr w:type="spellEnd"/>
      <w:r w:rsidRPr="002E470D">
        <w:rPr>
          <w:rFonts w:ascii="Times New Roman" w:eastAsia="宋体" w:hAnsi="Times New Roman" w:cs="Times New Roman"/>
          <w:kern w:val="0"/>
          <w:sz w:val="24"/>
          <w14:ligatures w14:val="none"/>
        </w:rPr>
        <w:t xml:space="preserve"> M, et al. Tumor and Immune Dynamics Following Sequential CDK4/6 and PD-1 Inhibition: Results from a Phase 2 Study in Dedifferentiated Liposarcoma. Cancer Res Commun. United States; </w:t>
      </w:r>
      <w:proofErr w:type="gramStart"/>
      <w:r w:rsidRPr="002E470D">
        <w:rPr>
          <w:rFonts w:ascii="Times New Roman" w:eastAsia="宋体" w:hAnsi="Times New Roman" w:cs="Times New Roman"/>
          <w:kern w:val="0"/>
          <w:sz w:val="24"/>
          <w14:ligatures w14:val="none"/>
        </w:rPr>
        <w:t>2026;6:437</w:t>
      </w:r>
      <w:proofErr w:type="gramEnd"/>
      <w:r w:rsidRPr="002E470D">
        <w:rPr>
          <w:rFonts w:ascii="Times New Roman" w:eastAsia="宋体" w:hAnsi="Times New Roman" w:cs="Times New Roman"/>
          <w:kern w:val="0"/>
          <w:sz w:val="24"/>
          <w14:ligatures w14:val="none"/>
        </w:rPr>
        <w:t>–46.</w:t>
      </w:r>
    </w:p>
    <w:p w14:paraId="2E55F4CF"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30. Zhang Y-X, </w:t>
      </w:r>
      <w:proofErr w:type="spellStart"/>
      <w:r w:rsidRPr="002E470D">
        <w:rPr>
          <w:rFonts w:ascii="Times New Roman" w:eastAsia="宋体" w:hAnsi="Times New Roman" w:cs="Times New Roman"/>
          <w:kern w:val="0"/>
          <w:sz w:val="24"/>
          <w14:ligatures w14:val="none"/>
        </w:rPr>
        <w:t>Sicinska</w:t>
      </w:r>
      <w:proofErr w:type="spellEnd"/>
      <w:r w:rsidRPr="002E470D">
        <w:rPr>
          <w:rFonts w:ascii="Times New Roman" w:eastAsia="宋体" w:hAnsi="Times New Roman" w:cs="Times New Roman"/>
          <w:kern w:val="0"/>
          <w:sz w:val="24"/>
          <w14:ligatures w14:val="none"/>
        </w:rPr>
        <w:t xml:space="preserve"> E, Czaplinski JT, Remillard SP, Moss S, Wang Y, et al. Antiproliferative effects of CDK4/6 inhibition in CDK4-amplified human liposarcoma in vitro and in vivo. Mol Cancer Ther. United States; </w:t>
      </w:r>
      <w:proofErr w:type="gramStart"/>
      <w:r w:rsidRPr="002E470D">
        <w:rPr>
          <w:rFonts w:ascii="Times New Roman" w:eastAsia="宋体" w:hAnsi="Times New Roman" w:cs="Times New Roman"/>
          <w:kern w:val="0"/>
          <w:sz w:val="24"/>
          <w14:ligatures w14:val="none"/>
        </w:rPr>
        <w:t>2014;13:2184</w:t>
      </w:r>
      <w:proofErr w:type="gramEnd"/>
      <w:r w:rsidRPr="002E470D">
        <w:rPr>
          <w:rFonts w:ascii="Times New Roman" w:eastAsia="宋体" w:hAnsi="Times New Roman" w:cs="Times New Roman"/>
          <w:kern w:val="0"/>
          <w:sz w:val="24"/>
          <w14:ligatures w14:val="none"/>
        </w:rPr>
        <w:t>–93.</w:t>
      </w:r>
    </w:p>
    <w:p w14:paraId="329D6FB5"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31. </w:t>
      </w:r>
      <w:bookmarkStart w:id="43" w:name="OLE_LINK105"/>
      <w:r w:rsidRPr="002E470D">
        <w:rPr>
          <w:rFonts w:ascii="Times New Roman" w:eastAsia="宋体" w:hAnsi="Times New Roman" w:cs="Times New Roman"/>
          <w:kern w:val="0"/>
          <w:sz w:val="24"/>
          <w14:ligatures w14:val="none"/>
        </w:rPr>
        <w:t>Wang</w:t>
      </w:r>
      <w:bookmarkEnd w:id="43"/>
      <w:r w:rsidRPr="002E470D">
        <w:rPr>
          <w:rFonts w:ascii="Times New Roman" w:eastAsia="宋体" w:hAnsi="Times New Roman" w:cs="Times New Roman"/>
          <w:kern w:val="0"/>
          <w:sz w:val="24"/>
          <w14:ligatures w14:val="none"/>
        </w:rPr>
        <w:t xml:space="preserve"> H, Zhou Y, Xu H, Wang X, Zhang Y, Shang R, et al. Therapeutic efficacy of FASN inhibition in preclinical models of HCC. Hepatology. United States; </w:t>
      </w:r>
      <w:proofErr w:type="gramStart"/>
      <w:r w:rsidRPr="002E470D">
        <w:rPr>
          <w:rFonts w:ascii="Times New Roman" w:eastAsia="宋体" w:hAnsi="Times New Roman" w:cs="Times New Roman"/>
          <w:kern w:val="0"/>
          <w:sz w:val="24"/>
          <w14:ligatures w14:val="none"/>
        </w:rPr>
        <w:t>2022;76:951</w:t>
      </w:r>
      <w:proofErr w:type="gramEnd"/>
      <w:r w:rsidRPr="002E470D">
        <w:rPr>
          <w:rFonts w:ascii="Times New Roman" w:eastAsia="宋体" w:hAnsi="Times New Roman" w:cs="Times New Roman"/>
          <w:kern w:val="0"/>
          <w:sz w:val="24"/>
          <w14:ligatures w14:val="none"/>
        </w:rPr>
        <w:t>–66.</w:t>
      </w:r>
    </w:p>
    <w:p w14:paraId="5CD349AB"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 xml:space="preserve">32. </w:t>
      </w:r>
      <w:bookmarkStart w:id="44" w:name="OLE_LINK84"/>
      <w:r w:rsidRPr="002E470D">
        <w:rPr>
          <w:rFonts w:ascii="Times New Roman" w:eastAsia="宋体" w:hAnsi="Times New Roman" w:cs="Times New Roman"/>
          <w:kern w:val="0"/>
          <w:sz w:val="24"/>
          <w14:ligatures w14:val="none"/>
        </w:rPr>
        <w:t>Gleason</w:t>
      </w:r>
      <w:bookmarkEnd w:id="44"/>
      <w:r w:rsidRPr="002E470D">
        <w:rPr>
          <w:rFonts w:ascii="Times New Roman" w:eastAsia="宋体" w:hAnsi="Times New Roman" w:cs="Times New Roman"/>
          <w:kern w:val="0"/>
          <w:sz w:val="24"/>
          <w14:ligatures w14:val="none"/>
        </w:rPr>
        <w:t xml:space="preserve"> CE, Dickson MA, Klein Dooley ME, Antonescu CR, Gularte-Mérida R, Benitez M, et al. Therapy-Induced Senescence Contributes to the Efficacy of </w:t>
      </w:r>
      <w:proofErr w:type="spellStart"/>
      <w:r w:rsidRPr="002E470D">
        <w:rPr>
          <w:rFonts w:ascii="Times New Roman" w:eastAsia="宋体" w:hAnsi="Times New Roman" w:cs="Times New Roman"/>
          <w:kern w:val="0"/>
          <w:sz w:val="24"/>
          <w14:ligatures w14:val="none"/>
        </w:rPr>
        <w:t>Abemaciclib</w:t>
      </w:r>
      <w:proofErr w:type="spellEnd"/>
      <w:r w:rsidRPr="002E470D">
        <w:rPr>
          <w:rFonts w:ascii="Times New Roman" w:eastAsia="宋体" w:hAnsi="Times New Roman" w:cs="Times New Roman"/>
          <w:kern w:val="0"/>
          <w:sz w:val="24"/>
          <w14:ligatures w14:val="none"/>
        </w:rPr>
        <w:t xml:space="preserve"> in Patients with Dedifferentiated Liposarcoma. Clin Cancer Res. United States; </w:t>
      </w:r>
      <w:proofErr w:type="gramStart"/>
      <w:r w:rsidRPr="002E470D">
        <w:rPr>
          <w:rFonts w:ascii="Times New Roman" w:eastAsia="宋体" w:hAnsi="Times New Roman" w:cs="Times New Roman"/>
          <w:kern w:val="0"/>
          <w:sz w:val="24"/>
          <w14:ligatures w14:val="none"/>
        </w:rPr>
        <w:t>2024;30:703</w:t>
      </w:r>
      <w:proofErr w:type="gramEnd"/>
      <w:r w:rsidRPr="002E470D">
        <w:rPr>
          <w:rFonts w:ascii="Times New Roman" w:eastAsia="宋体" w:hAnsi="Times New Roman" w:cs="Times New Roman"/>
          <w:kern w:val="0"/>
          <w:sz w:val="24"/>
          <w14:ligatures w14:val="none"/>
        </w:rPr>
        <w:t>–18.</w:t>
      </w:r>
    </w:p>
    <w:p w14:paraId="30BE19F0"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33. </w:t>
      </w:r>
      <w:bookmarkStart w:id="45" w:name="OLE_LINK86"/>
      <w:r w:rsidRPr="002E470D">
        <w:rPr>
          <w:rFonts w:ascii="Times New Roman" w:eastAsia="宋体" w:hAnsi="Times New Roman" w:cs="Times New Roman"/>
          <w:kern w:val="0"/>
          <w:sz w:val="24"/>
          <w14:ligatures w14:val="none"/>
        </w:rPr>
        <w:t>Graham</w:t>
      </w:r>
      <w:bookmarkEnd w:id="45"/>
      <w:r w:rsidRPr="002E470D">
        <w:rPr>
          <w:rFonts w:ascii="Times New Roman" w:eastAsia="宋体" w:hAnsi="Times New Roman" w:cs="Times New Roman"/>
          <w:kern w:val="0"/>
          <w:sz w:val="24"/>
          <w14:ligatures w14:val="none"/>
        </w:rPr>
        <w:t xml:space="preserve"> DS, </w:t>
      </w:r>
      <w:proofErr w:type="spellStart"/>
      <w:r w:rsidRPr="002E470D">
        <w:rPr>
          <w:rFonts w:ascii="Times New Roman" w:eastAsia="宋体" w:hAnsi="Times New Roman" w:cs="Times New Roman"/>
          <w:kern w:val="0"/>
          <w:sz w:val="24"/>
          <w14:ligatures w14:val="none"/>
        </w:rPr>
        <w:t>Qorbani</w:t>
      </w:r>
      <w:proofErr w:type="spellEnd"/>
      <w:r w:rsidRPr="002E470D">
        <w:rPr>
          <w:rFonts w:ascii="Times New Roman" w:eastAsia="宋体" w:hAnsi="Times New Roman" w:cs="Times New Roman"/>
          <w:kern w:val="0"/>
          <w:sz w:val="24"/>
          <w14:ligatures w14:val="none"/>
        </w:rPr>
        <w:t xml:space="preserve"> A, Eckardt MA, Klingbeil KD, Chen LY, Chopra S, et al. Does “Low-Grade” Dedifferentiated Liposarcoma Exist? The Role of Mitotic Index in Separating Dedifferentiated Liposarcoma </w:t>
      </w:r>
      <w:proofErr w:type="gramStart"/>
      <w:r w:rsidRPr="002E470D">
        <w:rPr>
          <w:rFonts w:ascii="Times New Roman" w:eastAsia="宋体" w:hAnsi="Times New Roman" w:cs="Times New Roman"/>
          <w:kern w:val="0"/>
          <w:sz w:val="24"/>
          <w14:ligatures w14:val="none"/>
        </w:rPr>
        <w:t>From</w:t>
      </w:r>
      <w:proofErr w:type="gramEnd"/>
      <w:r w:rsidRPr="002E470D">
        <w:rPr>
          <w:rFonts w:ascii="Times New Roman" w:eastAsia="宋体" w:hAnsi="Times New Roman" w:cs="Times New Roman"/>
          <w:kern w:val="0"/>
          <w:sz w:val="24"/>
          <w14:ligatures w14:val="none"/>
        </w:rPr>
        <w:t xml:space="preserve"> Cellular Well-</w:t>
      </w:r>
      <w:proofErr w:type="gramStart"/>
      <w:r w:rsidRPr="002E470D">
        <w:rPr>
          <w:rFonts w:ascii="Times New Roman" w:eastAsia="宋体" w:hAnsi="Times New Roman" w:cs="Times New Roman"/>
          <w:kern w:val="0"/>
          <w:sz w:val="24"/>
          <w14:ligatures w14:val="none"/>
        </w:rPr>
        <w:t>differentiated  Liposarcoma</w:t>
      </w:r>
      <w:proofErr w:type="gramEnd"/>
      <w:r w:rsidRPr="002E470D">
        <w:rPr>
          <w:rFonts w:ascii="Times New Roman" w:eastAsia="宋体" w:hAnsi="Times New Roman" w:cs="Times New Roman"/>
          <w:kern w:val="0"/>
          <w:sz w:val="24"/>
          <w14:ligatures w14:val="none"/>
        </w:rPr>
        <w:t xml:space="preserve">. Am J Surg </w:t>
      </w:r>
      <w:proofErr w:type="spellStart"/>
      <w:r w:rsidRPr="002E470D">
        <w:rPr>
          <w:rFonts w:ascii="Times New Roman" w:eastAsia="宋体" w:hAnsi="Times New Roman" w:cs="Times New Roman"/>
          <w:kern w:val="0"/>
          <w:sz w:val="24"/>
          <w14:ligatures w14:val="none"/>
        </w:rPr>
        <w:t>Pathol</w:t>
      </w:r>
      <w:proofErr w:type="spellEnd"/>
      <w:r w:rsidRPr="002E470D">
        <w:rPr>
          <w:rFonts w:ascii="Times New Roman" w:eastAsia="宋体" w:hAnsi="Times New Roman" w:cs="Times New Roman"/>
          <w:kern w:val="0"/>
          <w:sz w:val="24"/>
          <w14:ligatures w14:val="none"/>
        </w:rPr>
        <w:t xml:space="preserve">. United States; </w:t>
      </w:r>
      <w:proofErr w:type="gramStart"/>
      <w:r w:rsidRPr="002E470D">
        <w:rPr>
          <w:rFonts w:ascii="Times New Roman" w:eastAsia="宋体" w:hAnsi="Times New Roman" w:cs="Times New Roman"/>
          <w:kern w:val="0"/>
          <w:sz w:val="24"/>
          <w14:ligatures w14:val="none"/>
        </w:rPr>
        <w:t>2023;47:649</w:t>
      </w:r>
      <w:proofErr w:type="gramEnd"/>
      <w:r w:rsidRPr="002E470D">
        <w:rPr>
          <w:rFonts w:ascii="Times New Roman" w:eastAsia="宋体" w:hAnsi="Times New Roman" w:cs="Times New Roman"/>
          <w:kern w:val="0"/>
          <w:sz w:val="24"/>
          <w14:ligatures w14:val="none"/>
        </w:rPr>
        <w:t>–60.</w:t>
      </w:r>
    </w:p>
    <w:p w14:paraId="07F5C67C"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34. </w:t>
      </w:r>
      <w:bookmarkStart w:id="46" w:name="OLE_LINK90"/>
      <w:r w:rsidRPr="002E470D">
        <w:rPr>
          <w:rFonts w:ascii="Times New Roman" w:eastAsia="宋体" w:hAnsi="Times New Roman" w:cs="Times New Roman"/>
          <w:kern w:val="0"/>
          <w:sz w:val="24"/>
          <w14:ligatures w14:val="none"/>
        </w:rPr>
        <w:t>Kamble</w:t>
      </w:r>
      <w:bookmarkEnd w:id="46"/>
      <w:r w:rsidRPr="002E470D">
        <w:rPr>
          <w:rFonts w:ascii="Times New Roman" w:eastAsia="宋体" w:hAnsi="Times New Roman" w:cs="Times New Roman"/>
          <w:kern w:val="0"/>
          <w:sz w:val="24"/>
          <w14:ligatures w14:val="none"/>
        </w:rPr>
        <w:t xml:space="preserve"> PG, Hetty S, Vranic M, Almby K, Castillejo-López C, Abalo XM, et al. Proof-of-concept for CRISPR/Cas9 gene editing in human preadipocytes: Deletion of FKBP5 and PPARG and effects on adipocyte differentiation and metabolism. Sci Rep. England; </w:t>
      </w:r>
      <w:proofErr w:type="gramStart"/>
      <w:r w:rsidRPr="002E470D">
        <w:rPr>
          <w:rFonts w:ascii="Times New Roman" w:eastAsia="宋体" w:hAnsi="Times New Roman" w:cs="Times New Roman"/>
          <w:kern w:val="0"/>
          <w:sz w:val="24"/>
          <w14:ligatures w14:val="none"/>
        </w:rPr>
        <w:t>2020;10:10565</w:t>
      </w:r>
      <w:proofErr w:type="gramEnd"/>
      <w:r w:rsidRPr="002E470D">
        <w:rPr>
          <w:rFonts w:ascii="Times New Roman" w:eastAsia="宋体" w:hAnsi="Times New Roman" w:cs="Times New Roman"/>
          <w:kern w:val="0"/>
          <w:sz w:val="24"/>
          <w14:ligatures w14:val="none"/>
        </w:rPr>
        <w:t>.</w:t>
      </w:r>
    </w:p>
    <w:p w14:paraId="7ACC42A8"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35. </w:t>
      </w:r>
      <w:bookmarkStart w:id="47" w:name="OLE_LINK98"/>
      <w:r w:rsidRPr="002E470D">
        <w:rPr>
          <w:rFonts w:ascii="Times New Roman" w:eastAsia="宋体" w:hAnsi="Times New Roman" w:cs="Times New Roman"/>
          <w:kern w:val="0"/>
          <w:sz w:val="24"/>
          <w14:ligatures w14:val="none"/>
        </w:rPr>
        <w:t>Roland</w:t>
      </w:r>
      <w:bookmarkEnd w:id="47"/>
      <w:r w:rsidRPr="002E470D">
        <w:rPr>
          <w:rFonts w:ascii="Times New Roman" w:eastAsia="宋体" w:hAnsi="Times New Roman" w:cs="Times New Roman"/>
          <w:kern w:val="0"/>
          <w:sz w:val="24"/>
          <w14:ligatures w14:val="none"/>
        </w:rPr>
        <w:t xml:space="preserve"> CL, Nassif Haddad EF, Keung EZ, Wang W-L, Lazar AJ, Lin H, et al. A randomized, non-comparative phase 2 study of neoadjuvant immune-checkpoint blockade in retroperitoneal dedifferentiated liposarcoma and extremity/</w:t>
      </w:r>
      <w:proofErr w:type="gramStart"/>
      <w:r w:rsidRPr="002E470D">
        <w:rPr>
          <w:rFonts w:ascii="Times New Roman" w:eastAsia="宋体" w:hAnsi="Times New Roman" w:cs="Times New Roman"/>
          <w:kern w:val="0"/>
          <w:sz w:val="24"/>
          <w14:ligatures w14:val="none"/>
        </w:rPr>
        <w:t>truncal  undifferentiated</w:t>
      </w:r>
      <w:proofErr w:type="gramEnd"/>
      <w:r w:rsidRPr="002E470D">
        <w:rPr>
          <w:rFonts w:ascii="Times New Roman" w:eastAsia="宋体" w:hAnsi="Times New Roman" w:cs="Times New Roman"/>
          <w:kern w:val="0"/>
          <w:sz w:val="24"/>
          <w14:ligatures w14:val="none"/>
        </w:rPr>
        <w:t xml:space="preserve"> pleomorphic sarcoma. Nat Cancer. England; </w:t>
      </w:r>
      <w:proofErr w:type="gramStart"/>
      <w:r w:rsidRPr="002E470D">
        <w:rPr>
          <w:rFonts w:ascii="Times New Roman" w:eastAsia="宋体" w:hAnsi="Times New Roman" w:cs="Times New Roman"/>
          <w:kern w:val="0"/>
          <w:sz w:val="24"/>
          <w14:ligatures w14:val="none"/>
        </w:rPr>
        <w:t>2024;5:625</w:t>
      </w:r>
      <w:proofErr w:type="gramEnd"/>
      <w:r w:rsidRPr="002E470D">
        <w:rPr>
          <w:rFonts w:ascii="Times New Roman" w:eastAsia="宋体" w:hAnsi="Times New Roman" w:cs="Times New Roman"/>
          <w:kern w:val="0"/>
          <w:sz w:val="24"/>
          <w14:ligatures w14:val="none"/>
        </w:rPr>
        <w:t>–41.</w:t>
      </w:r>
    </w:p>
    <w:p w14:paraId="09262F68"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36. </w:t>
      </w:r>
      <w:bookmarkStart w:id="48" w:name="OLE_LINK56"/>
      <w:r w:rsidRPr="002E470D">
        <w:rPr>
          <w:rFonts w:ascii="Times New Roman" w:eastAsia="宋体" w:hAnsi="Times New Roman" w:cs="Times New Roman"/>
          <w:kern w:val="0"/>
          <w:sz w:val="24"/>
          <w14:ligatures w14:val="none"/>
        </w:rPr>
        <w:t>Blay J-Y</w:t>
      </w:r>
      <w:bookmarkEnd w:id="48"/>
      <w:r w:rsidRPr="002E470D">
        <w:rPr>
          <w:rFonts w:ascii="Times New Roman" w:eastAsia="宋体" w:hAnsi="Times New Roman" w:cs="Times New Roman"/>
          <w:kern w:val="0"/>
          <w:sz w:val="24"/>
          <w14:ligatures w14:val="none"/>
        </w:rPr>
        <w:t xml:space="preserve">, </w:t>
      </w:r>
      <w:proofErr w:type="spellStart"/>
      <w:r w:rsidRPr="002E470D">
        <w:rPr>
          <w:rFonts w:ascii="Times New Roman" w:eastAsia="宋体" w:hAnsi="Times New Roman" w:cs="Times New Roman"/>
          <w:kern w:val="0"/>
          <w:sz w:val="24"/>
          <w14:ligatures w14:val="none"/>
        </w:rPr>
        <w:t>Toulmonde</w:t>
      </w:r>
      <w:proofErr w:type="spellEnd"/>
      <w:r w:rsidRPr="002E470D">
        <w:rPr>
          <w:rFonts w:ascii="Times New Roman" w:eastAsia="宋体" w:hAnsi="Times New Roman" w:cs="Times New Roman"/>
          <w:kern w:val="0"/>
          <w:sz w:val="24"/>
          <w14:ligatures w14:val="none"/>
        </w:rPr>
        <w:t xml:space="preserve"> M, Valentin T, Firmin N, Watson S, </w:t>
      </w:r>
      <w:proofErr w:type="spellStart"/>
      <w:r w:rsidRPr="002E470D">
        <w:rPr>
          <w:rFonts w:ascii="Times New Roman" w:eastAsia="宋体" w:hAnsi="Times New Roman" w:cs="Times New Roman"/>
          <w:kern w:val="0"/>
          <w:sz w:val="24"/>
          <w14:ligatures w14:val="none"/>
        </w:rPr>
        <w:t>Duffaud</w:t>
      </w:r>
      <w:proofErr w:type="spellEnd"/>
      <w:r w:rsidRPr="002E470D">
        <w:rPr>
          <w:rFonts w:ascii="Times New Roman" w:eastAsia="宋体" w:hAnsi="Times New Roman" w:cs="Times New Roman"/>
          <w:kern w:val="0"/>
          <w:sz w:val="24"/>
          <w14:ligatures w14:val="none"/>
        </w:rPr>
        <w:t xml:space="preserve"> F, et al. Clinical presentation, management and outcome of 11,132 patients with liposarcoma patients: a population-based study from the NETSARC+ registry. Lancet Reg Health Eur. England; </w:t>
      </w:r>
      <w:proofErr w:type="gramStart"/>
      <w:r w:rsidRPr="002E470D">
        <w:rPr>
          <w:rFonts w:ascii="Times New Roman" w:eastAsia="宋体" w:hAnsi="Times New Roman" w:cs="Times New Roman"/>
          <w:kern w:val="0"/>
          <w:sz w:val="24"/>
          <w14:ligatures w14:val="none"/>
        </w:rPr>
        <w:t>2025;57:101403</w:t>
      </w:r>
      <w:proofErr w:type="gramEnd"/>
      <w:r w:rsidRPr="002E470D">
        <w:rPr>
          <w:rFonts w:ascii="Times New Roman" w:eastAsia="宋体" w:hAnsi="Times New Roman" w:cs="Times New Roman"/>
          <w:kern w:val="0"/>
          <w:sz w:val="24"/>
          <w14:ligatures w14:val="none"/>
        </w:rPr>
        <w:t>.</w:t>
      </w:r>
    </w:p>
    <w:p w14:paraId="18F54C60" w14:textId="77777777" w:rsidR="003B3526" w:rsidRPr="002E470D" w:rsidRDefault="003B3526" w:rsidP="003B3526">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37. </w:t>
      </w:r>
      <w:bookmarkStart w:id="49" w:name="OLE_LINK107"/>
      <w:r w:rsidRPr="002E470D">
        <w:rPr>
          <w:rFonts w:ascii="Times New Roman" w:eastAsia="宋体" w:hAnsi="Times New Roman" w:cs="Times New Roman"/>
          <w:kern w:val="0"/>
          <w:sz w:val="24"/>
          <w14:ligatures w14:val="none"/>
        </w:rPr>
        <w:t>Yang C</w:t>
      </w:r>
      <w:bookmarkEnd w:id="49"/>
      <w:r w:rsidRPr="002E470D">
        <w:rPr>
          <w:rFonts w:ascii="Times New Roman" w:eastAsia="宋体" w:hAnsi="Times New Roman" w:cs="Times New Roman"/>
          <w:kern w:val="0"/>
          <w:sz w:val="24"/>
          <w14:ligatures w14:val="none"/>
        </w:rPr>
        <w:t xml:space="preserve">, Jin J, Yang Y, Sun H, Wu L, Shen M, et al. Androgen receptor-mediated CD8(+) T cell stemness programs drive sex differences in antitumor immunity. Immunity. United States; </w:t>
      </w:r>
      <w:proofErr w:type="gramStart"/>
      <w:r w:rsidRPr="002E470D">
        <w:rPr>
          <w:rFonts w:ascii="Times New Roman" w:eastAsia="宋体" w:hAnsi="Times New Roman" w:cs="Times New Roman"/>
          <w:kern w:val="0"/>
          <w:sz w:val="24"/>
          <w14:ligatures w14:val="none"/>
        </w:rPr>
        <w:t>2022;55:1268</w:t>
      </w:r>
      <w:proofErr w:type="gramEnd"/>
      <w:r w:rsidRPr="002E470D">
        <w:rPr>
          <w:rFonts w:ascii="Times New Roman" w:eastAsia="宋体" w:hAnsi="Times New Roman" w:cs="Times New Roman"/>
          <w:kern w:val="0"/>
          <w:sz w:val="24"/>
          <w14:ligatures w14:val="none"/>
        </w:rPr>
        <w:t>-1283.e9.</w:t>
      </w:r>
    </w:p>
    <w:p w14:paraId="38B6E782" w14:textId="2BAD398B"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7E8CC622"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0312A38D"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3923162D"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1F4BC179"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5F9AD0FB"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1BF650E1"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5B09F9E6"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372D28AD"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0216E534"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22E451EB" w14:textId="77777777" w:rsidR="00731501" w:rsidRPr="002E470D" w:rsidRDefault="00731501">
      <w:pPr>
        <w:keepLines/>
        <w:widowControl/>
        <w:suppressAutoHyphens/>
        <w:kinsoku w:val="0"/>
        <w:spacing w:before="48" w:after="48" w:line="240" w:lineRule="auto"/>
        <w:jc w:val="both"/>
        <w:rPr>
          <w:rFonts w:ascii="Times New Roman" w:eastAsia="宋体" w:hAnsi="Times New Roman" w:cs="Times New Roman"/>
          <w:kern w:val="0"/>
          <w:sz w:val="24"/>
          <w14:ligatures w14:val="none"/>
        </w:rPr>
      </w:pPr>
    </w:p>
    <w:p w14:paraId="2E6996DF"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Figure legends</w:t>
      </w:r>
    </w:p>
    <w:p w14:paraId="23CDB238"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253AD394"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Figure 1. Study Design and Cohort Characteristics. (A) Patient inclusion and analysis flow chart. (B) Sample distribution across cohorts: GSE21122 (n = 158, 62.5%), TCGA (n = 50, 19.8%), and GSE159659 (n = 45, 17.8%). (C) Histological subtype distribution: DDLPS was the most common (n = 61, 24.1%), followed by WDLPS (n = 50), pleomorphic (n = 20), myxoid (n = 15), and others (n = 23). (D) Age distribution of TCGA patients (median age 61.5 years, range 26–87). (E) Sex distribution: male 66% (n = 33), female 34% (n = 17). (F) Survival status: alive 27 (54%), deceased 23 (46%).</w:t>
      </w:r>
    </w:p>
    <w:p w14:paraId="5CD3A84F"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3EECCCD8"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Figure 2. Landscape of lipid metabolism. Ridge plot showing lipid scores for each subtype; highest median score was for DDLPS. (B) Ridge plot of scores by cohort to show even-distributed scores. (C) Boxplot of scores for males and females (Wilcoxon test p &lt; 0.05, males are significantly higher than females). Boxplot of scores by death status: the scores of the deceased patients are significantly higher than those of survivors (p &lt; 0.05, Wilcoxon test). (E) Distribution of scores in a histogram (median ~5.2, range 3.9–8.5). (F) Scatter plot of scores and age with no correlation (Spearman R = 0.041, p = 0.78). Representative heatmap of 6 core genes showing separation of the high and low score groups. Waterfall plot (H) shows the continuous spectrum of scores. Color schemes are optimized for color-blind </w:t>
      </w:r>
      <w:proofErr w:type="gramStart"/>
      <w:r w:rsidRPr="002E470D">
        <w:rPr>
          <w:rFonts w:ascii="Times New Roman" w:eastAsia="宋体" w:hAnsi="Times New Roman" w:cs="Times New Roman"/>
          <w:kern w:val="0"/>
          <w:sz w:val="24"/>
          <w14:ligatures w14:val="none"/>
        </w:rPr>
        <w:t>reader</w:t>
      </w:r>
      <w:proofErr w:type="gramEnd"/>
      <w:r w:rsidRPr="002E470D">
        <w:rPr>
          <w:rFonts w:ascii="Times New Roman" w:eastAsia="宋体" w:hAnsi="Times New Roman" w:cs="Times New Roman"/>
          <w:kern w:val="0"/>
          <w:sz w:val="24"/>
          <w14:ligatures w14:val="none"/>
        </w:rPr>
        <w:t>.</w:t>
      </w:r>
    </w:p>
    <w:p w14:paraId="1D7B54C3"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90D2AE1" w14:textId="1F6F6B99" w:rsidR="00CE3857"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Figure 3. Subgroup survival analyses. (A) All patients (n = 50): high-score patients had significantly worse survival than low-score patients (HR = 2.61, 95% CI: 1.07–6.36, log-rank p = 0.031). (B) Age ≤ 60 years (n = 28): HR = 2.98, 95% CI: 0.90–9.86, p = 0.073. (C) Age &gt; 60 years (n = 22): HR = 2.75, 95% CI: 0.74–10.23, p = 0.130. (D) Female patients (n = 17): HR = 0.62, 95% CI: 0.14–2.75, p = 0.510. (E) Male patients (n = 33): high-score males had significantly worse survival than low-score males (HR = 5.83, 95% CI: 1.55–21.95, log-rank p = 0.008). Independence of this variable was confirmed in the multivariable analysis (adjusted HR 5.61 with p = 0.011).</w:t>
      </w:r>
    </w:p>
    <w:p w14:paraId="7EAF3123"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2F4A2A2"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Figure 4. GSEA shows that there are two phenotypes: cell cycle activation and immunosuppression. (A) Volcano plot of the differential expression results: red, upregulated (52 genes); blue, downregulated (5 genes); gray, not significant. (B) A hierarchical clustering heatmap of genes that are significantly different between the different groups of high and low scores. (C–E) Representative GSEA enrichment plots: (C) MITOTIC SPINDLE (NES = 1.64, FDR &lt; 0.05); (D) G2M_CHECKPOINT (NES = 1.58, FDR &lt; 0.05); (E) INTERFERON GAMMA RESPONSE (NES = –1.82, FDR &lt; 0.05). (F) The top 10 pathways that were upregulated in high-score tumors. (G) Forest plot of significant pathways (FDR &lt; 0.05) in which the size of the point indicates –log10(FDR). (H) Top 10 pathways that are down regulated in high score tumors (enriched in low score tumors).</w:t>
      </w:r>
    </w:p>
    <w:p w14:paraId="4E0FD826"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0E40597"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Figure 5. Validation of PPARG/CD36 axis and clinical relevance. PPARG expression by group, compared to patients with low score, PPARG is significantly upregulated in patients with high score (p = 0.004, Wilcoxon test). (B) Significantly increased expression of CD36 in high score patients (p = 0.006, Wilcoxon test). (C) Correlation between PPARG and score: Spearman R = 0.62, p = 1.2 × 10⁻⁶. (D) Correlation between CD36 and score: Spearman R = 0.58, p = 8.4 × 10⁻⁶. (E) Kaplan-Meier curve for PPARG expression: high expression of PPARG was correlated with poorer survival (log-rank p = 0.019). (F) Heatmap for 6 core genes. (G) ROC curve of the combined score of PPARG and CD36: AUC = 0.71. (H) Correlation between PPARG and CD36: Spearman R = 0.58, p &lt; 0.001.</w:t>
      </w:r>
    </w:p>
    <w:p w14:paraId="56B75F40"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35EABFDA" w14:textId="53CDFB95" w:rsidR="00CE3857"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Figure 6. Prognostic performance and molecular regulatory network. Time dependent ROC curves at 1, 3 &amp; 5 years. (B) Time-dependent AUC trajectory (0.5–8 years): 1-year AUC = 0.72, 3-year AUC = 0.68, 5-year AUC = 0.65. Random prediction level is shown as a dashed line. (C) Decision curve demonstrating positive net benefit over most thresholds. (D) Grouped expression of four core genes; all were significantly higher in the high score patients (all p &lt; 0.001, Wilcoxon test); FASN (2.8-fold), ACLY (2.3-fold), SCD (2.1-fold) and SREBF1 (1.9-fold). (E) Heatmap of the gene correlation network with strong correlation between FASN and ACLY (R = 0.78) and between FASN and SCD (R = 0.72). (F) Transcription factor activity (</w:t>
      </w:r>
      <w:proofErr w:type="spellStart"/>
      <w:r w:rsidRPr="002E470D">
        <w:rPr>
          <w:rFonts w:ascii="Times New Roman" w:eastAsia="宋体" w:hAnsi="Times New Roman" w:cs="Times New Roman"/>
          <w:kern w:val="0"/>
          <w:sz w:val="24"/>
          <w14:ligatures w14:val="none"/>
        </w:rPr>
        <w:t>DoRothEA</w:t>
      </w:r>
      <w:proofErr w:type="spellEnd"/>
      <w:r w:rsidRPr="002E470D">
        <w:rPr>
          <w:rFonts w:ascii="Times New Roman" w:eastAsia="宋体" w:hAnsi="Times New Roman" w:cs="Times New Roman"/>
          <w:kern w:val="0"/>
          <w:sz w:val="24"/>
          <w14:ligatures w14:val="none"/>
        </w:rPr>
        <w:t>): PPARG (Log2FC = 1.19, p = 0.008), E2F1 (Log2FC = 0.50, p = 0.012), and SREBF1 (Log2FC = 0.30, p = 0.026) were significantly activated in high-score tumors. (G) Immune score correlations: none of the six immune cell types showed significant correlation (FDR &gt; 0.05).</w:t>
      </w:r>
    </w:p>
    <w:p w14:paraId="09CECC04"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D756EC6" w14:textId="327F4213" w:rsidR="00CE3857" w:rsidRPr="002E470D" w:rsidRDefault="00DD591B" w:rsidP="00DD591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DD591B">
        <w:rPr>
          <w:rFonts w:ascii="Times New Roman" w:eastAsia="宋体" w:hAnsi="Times New Roman" w:cs="Times New Roman" w:hint="eastAsia"/>
          <w:kern w:val="0"/>
          <w:sz w:val="24"/>
          <w14:ligatures w14:val="none"/>
        </w:rPr>
        <w:t>Figure 7. External validation of the six-gene lipid metabolism score in GSE30929. (A) Kaplan-Meier curves showing disease-free survival (DFS) stratified by the lipid score (median split) in all 140 liposarcoma patients. (B) DFS stratified by the lipid score in the dedifferentiated liposarcoma (DDLPS) subset (n=40). (C) DFS stratified by the lipid score in the pleomorphic liposarcoma subset (n=20). HR and P-values were calculated using Cox proportional hazards regression. Shaded areas represent 95% confidence intervals. The risk table below each panel shows the number of patients at risk at each time point.</w:t>
      </w:r>
    </w:p>
    <w:p w14:paraId="7D277A0B"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6E81E936"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08DCA825"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42B39BC"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9528DCE"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4F16EDA1"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3DA71281"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4D7DB09C"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69ED3107"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4B7ECA03"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A18A137"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7DEDA9CC"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2197E9C0"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BEF414A"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04A8AC39"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55E3AF3E"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AC6C1A1" w14:textId="77777777" w:rsidR="00CE3857" w:rsidRPr="002E470D" w:rsidRDefault="00CE3857">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6C1E76AC" w14:textId="77777777" w:rsidR="007C213B" w:rsidRPr="002E470D" w:rsidRDefault="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38EEEFF9"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b/>
          <w:bCs/>
          <w:kern w:val="0"/>
          <w:sz w:val="24"/>
          <w14:ligatures w14:val="none"/>
        </w:rPr>
      </w:pPr>
      <w:bookmarkStart w:id="50" w:name="OLE_LINK61"/>
      <w:r w:rsidRPr="002E470D">
        <w:rPr>
          <w:rFonts w:ascii="Times New Roman" w:eastAsia="宋体" w:hAnsi="Times New Roman" w:cs="Times New Roman"/>
          <w:b/>
          <w:bCs/>
          <w:kern w:val="0"/>
          <w:sz w:val="24"/>
          <w14:ligatures w14:val="none"/>
        </w:rPr>
        <w:t>Supplementary figure legends</w:t>
      </w:r>
    </w:p>
    <w:p w14:paraId="4178EA31"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6BD1F42"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Figure S1. Volcano plot of the differential expression with GSEA barcodes. Volcano plot of the genes that were up or down regulated in the high vs low score groups. Red: upregulated (n = 52); blue: downregulated (n = 5); gray: not significant. Thresholds: |log2FC| &gt; 1, adjusted p &lt; 0.05. Bottom barcodes display GSEA enrichment distribution of Hallmark pathways along the ranked gene list.</w:t>
      </w:r>
    </w:p>
    <w:p w14:paraId="30650F6E"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300DAA61"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Figure S2. Other clinical connections and GSEA data. (A) Score versus tumor size: no correlation (Spearman R = 0.12, p = 0.45). (B) FNCLCC grade score: No significant difference (Kruskal – Wallis p = 0.38). (C) Pathway network: red, upregulation; blue, downregulation. The overlap similarity is indicated by the edge thickness. The forest plot of the top 20 pathways ranked by |NES|. Ridge plots of enrichment scores of pathways that were upregulated (E) and downregulated (F).</w:t>
      </w:r>
    </w:p>
    <w:p w14:paraId="174E26A7"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2C2D9F39"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Figure S3. Immune infiltration and drug sensitivity. (A) No obvious distinction between each group in heatmap of immune infiltration scores per patient. All boxplots show no significant differences (FDR &gt; 0.05; Wilcoxon test) in immune scores between groups. Drug sensitivity predictions: (C) high-score </w:t>
      </w:r>
      <w:proofErr w:type="gramStart"/>
      <w:r w:rsidRPr="002E470D">
        <w:rPr>
          <w:rFonts w:ascii="Times New Roman" w:eastAsia="宋体" w:hAnsi="Times New Roman" w:cs="Times New Roman"/>
          <w:kern w:val="0"/>
          <w:sz w:val="24"/>
          <w14:ligatures w14:val="none"/>
        </w:rPr>
        <w:t>sensitive</w:t>
      </w:r>
      <w:proofErr w:type="gramEnd"/>
      <w:r w:rsidRPr="002E470D">
        <w:rPr>
          <w:rFonts w:ascii="Times New Roman" w:eastAsia="宋体" w:hAnsi="Times New Roman" w:cs="Times New Roman"/>
          <w:kern w:val="0"/>
          <w:sz w:val="24"/>
          <w14:ligatures w14:val="none"/>
        </w:rPr>
        <w:t>: FASN inhibitors, SCD inhibitors, CDK4/6 inhibitors (FC &gt;1.3, p&lt;0.05); low-score sensitive: immune checkpoint inhibitors (FC&lt;0.77, p&lt;0.05). D) Gene correlation network heatmap (supplement to Fig. 6E) of the complete correlation matrix of the six core genes.</w:t>
      </w:r>
    </w:p>
    <w:p w14:paraId="6D421D47"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C6A2940"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Figure S4. Kaplan–Meier survival curves of the TCGA cohort, separated by lipid score. Patients with high </w:t>
      </w:r>
      <w:proofErr w:type="gramStart"/>
      <w:r w:rsidRPr="002E470D">
        <w:rPr>
          <w:rFonts w:ascii="Times New Roman" w:eastAsia="宋体" w:hAnsi="Times New Roman" w:cs="Times New Roman"/>
          <w:kern w:val="0"/>
          <w:sz w:val="24"/>
          <w14:ligatures w14:val="none"/>
        </w:rPr>
        <w:t>score</w:t>
      </w:r>
      <w:proofErr w:type="gramEnd"/>
      <w:r w:rsidRPr="002E470D">
        <w:rPr>
          <w:rFonts w:ascii="Times New Roman" w:eastAsia="宋体" w:hAnsi="Times New Roman" w:cs="Times New Roman"/>
          <w:kern w:val="0"/>
          <w:sz w:val="24"/>
          <w14:ligatures w14:val="none"/>
        </w:rPr>
        <w:t xml:space="preserve"> (red) showed significantly poorer overall survival compared with patients with low </w:t>
      </w:r>
      <w:proofErr w:type="gramStart"/>
      <w:r w:rsidRPr="002E470D">
        <w:rPr>
          <w:rFonts w:ascii="Times New Roman" w:eastAsia="宋体" w:hAnsi="Times New Roman" w:cs="Times New Roman"/>
          <w:kern w:val="0"/>
          <w:sz w:val="24"/>
          <w14:ligatures w14:val="none"/>
        </w:rPr>
        <w:t>score</w:t>
      </w:r>
      <w:proofErr w:type="gramEnd"/>
      <w:r w:rsidRPr="002E470D">
        <w:rPr>
          <w:rFonts w:ascii="Times New Roman" w:eastAsia="宋体" w:hAnsi="Times New Roman" w:cs="Times New Roman"/>
          <w:kern w:val="0"/>
          <w:sz w:val="24"/>
          <w14:ligatures w14:val="none"/>
        </w:rPr>
        <w:t xml:space="preserve"> (blue) (log-rank p = 0.031). The risk table shows the number at risk at each time point.</w:t>
      </w:r>
    </w:p>
    <w:p w14:paraId="2FBD4ADA"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0BED556E"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Figure S5. Nomogram for prediction of 1-, 3- and 5-year survival. The nomogram includes age, FNCLCC grade and lipid score. Each variable is assigned a </w:t>
      </w:r>
      <w:proofErr w:type="gramStart"/>
      <w:r w:rsidRPr="002E470D">
        <w:rPr>
          <w:rFonts w:ascii="Times New Roman" w:eastAsia="宋体" w:hAnsi="Times New Roman" w:cs="Times New Roman"/>
          <w:kern w:val="0"/>
          <w:sz w:val="24"/>
          <w14:ligatures w14:val="none"/>
        </w:rPr>
        <w:t>point</w:t>
      </w:r>
      <w:proofErr w:type="gramEnd"/>
      <w:r w:rsidRPr="002E470D">
        <w:rPr>
          <w:rFonts w:ascii="Times New Roman" w:eastAsia="宋体" w:hAnsi="Times New Roman" w:cs="Times New Roman"/>
          <w:kern w:val="0"/>
          <w:sz w:val="24"/>
          <w14:ligatures w14:val="none"/>
        </w:rPr>
        <w:t xml:space="preserve"> and the total score is the sum of all the points, which translates to </w:t>
      </w:r>
      <w:proofErr w:type="gramStart"/>
      <w:r w:rsidRPr="002E470D">
        <w:rPr>
          <w:rFonts w:ascii="Times New Roman" w:eastAsia="宋体" w:hAnsi="Times New Roman" w:cs="Times New Roman"/>
          <w:kern w:val="0"/>
          <w:sz w:val="24"/>
          <w14:ligatures w14:val="none"/>
        </w:rPr>
        <w:t>1, 3 and 5 year</w:t>
      </w:r>
      <w:proofErr w:type="gramEnd"/>
      <w:r w:rsidRPr="002E470D">
        <w:rPr>
          <w:rFonts w:ascii="Times New Roman" w:eastAsia="宋体" w:hAnsi="Times New Roman" w:cs="Times New Roman"/>
          <w:kern w:val="0"/>
          <w:sz w:val="24"/>
          <w14:ligatures w14:val="none"/>
        </w:rPr>
        <w:t xml:space="preserve"> survival probability.</w:t>
      </w:r>
    </w:p>
    <w:p w14:paraId="2AF31456"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4A5FE3A2"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t xml:space="preserve">Figure S6. Calibration curves of the nomogram. Calibration plots for 1-, 3- and 5-year survival. The predicted and observed survival </w:t>
      </w:r>
      <w:proofErr w:type="gramStart"/>
      <w:r w:rsidRPr="002E470D">
        <w:rPr>
          <w:rFonts w:ascii="Times New Roman" w:eastAsia="宋体" w:hAnsi="Times New Roman" w:cs="Times New Roman"/>
          <w:kern w:val="0"/>
          <w:sz w:val="24"/>
          <w14:ligatures w14:val="none"/>
        </w:rPr>
        <w:t>are in agreement</w:t>
      </w:r>
      <w:proofErr w:type="gramEnd"/>
      <w:r w:rsidRPr="002E470D">
        <w:rPr>
          <w:rFonts w:ascii="Times New Roman" w:eastAsia="宋体" w:hAnsi="Times New Roman" w:cs="Times New Roman"/>
          <w:kern w:val="0"/>
          <w:sz w:val="24"/>
          <w14:ligatures w14:val="none"/>
        </w:rPr>
        <w:t xml:space="preserve"> with the bootstrap corrected curves (B = 200). The diagonal dashed line is the perfect calibration line.</w:t>
      </w:r>
    </w:p>
    <w:p w14:paraId="5BACA720" w14:textId="77777777" w:rsidR="007C213B" w:rsidRPr="002E470D"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1AF7BC7F" w14:textId="09945856" w:rsidR="007C213B" w:rsidRDefault="007C213B"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2E470D">
        <w:rPr>
          <w:rFonts w:ascii="Times New Roman" w:eastAsia="宋体" w:hAnsi="Times New Roman" w:cs="Times New Roman"/>
          <w:kern w:val="0"/>
          <w:sz w:val="24"/>
          <w14:ligatures w14:val="none"/>
        </w:rPr>
        <w:lastRenderedPageBreak/>
        <w:t>Figure S7. Distribution of lipid scores by subtype in independent cohorts. Scores were significantly higher in dedifferentiated liposarcoma (DDLPS) compared to well-differentiated liposarcoma (WDLPS) and normal adipose tissue (pairwise p-values as indicated) in cohort (A) GSE159659 (n = 45). (B) GSE21122 cohort (n = 158): significant differences between sarcoma sub types (DDLPS, LMS, MF, MRC, PL and normal adipose). The Overall ANOVA p-value is shown.</w:t>
      </w:r>
    </w:p>
    <w:p w14:paraId="40E36392" w14:textId="77777777" w:rsidR="0019261A" w:rsidRPr="002E470D" w:rsidRDefault="0019261A" w:rsidP="007C213B">
      <w:pPr>
        <w:keepLines/>
        <w:widowControl/>
        <w:suppressAutoHyphens/>
        <w:kinsoku w:val="0"/>
        <w:spacing w:after="0" w:line="240" w:lineRule="auto"/>
        <w:jc w:val="both"/>
        <w:rPr>
          <w:rFonts w:ascii="Times New Roman" w:eastAsia="宋体" w:hAnsi="Times New Roman" w:cs="Times New Roman"/>
          <w:kern w:val="0"/>
          <w:sz w:val="24"/>
          <w14:ligatures w14:val="none"/>
        </w:rPr>
      </w:pPr>
    </w:p>
    <w:p w14:paraId="032CE373" w14:textId="77777777" w:rsidR="0019261A" w:rsidRPr="0019261A" w:rsidRDefault="0019261A" w:rsidP="0019261A">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19261A">
        <w:rPr>
          <w:rFonts w:ascii="Times New Roman" w:eastAsia="宋体" w:hAnsi="Times New Roman" w:cs="Times New Roman"/>
          <w:b/>
          <w:bCs/>
          <w:kern w:val="0"/>
          <w:sz w:val="24"/>
          <w14:ligatures w14:val="none"/>
        </w:rPr>
        <w:t>Tables</w:t>
      </w:r>
    </w:p>
    <w:p w14:paraId="6C1E5518" w14:textId="77777777" w:rsidR="0019261A" w:rsidRPr="0019261A" w:rsidRDefault="0019261A" w:rsidP="0019261A">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290E74F8" w14:textId="05F0CFA1" w:rsidR="007C213B" w:rsidRDefault="0019261A" w:rsidP="007C213B">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19261A">
        <w:rPr>
          <w:rFonts w:ascii="Times New Roman" w:eastAsia="宋体" w:hAnsi="Times New Roman" w:cs="Times New Roman"/>
          <w:b/>
          <w:bCs/>
          <w:kern w:val="0"/>
          <w:sz w:val="24"/>
          <w14:ligatures w14:val="none"/>
        </w:rPr>
        <w:t>Table 1: Key resources</w:t>
      </w:r>
    </w:p>
    <w:tbl>
      <w:tblPr>
        <w:tblW w:w="4859" w:type="pct"/>
        <w:tblBorders>
          <w:top w:val="single" w:sz="12" w:space="0" w:color="993333"/>
          <w:bottom w:val="single" w:sz="12" w:space="0" w:color="993333"/>
        </w:tblBorders>
        <w:tblLayout w:type="fixed"/>
        <w:tblCellMar>
          <w:top w:w="15" w:type="dxa"/>
          <w:left w:w="15" w:type="dxa"/>
          <w:bottom w:w="15" w:type="dxa"/>
          <w:right w:w="15" w:type="dxa"/>
        </w:tblCellMar>
        <w:tblLook w:val="04A0" w:firstRow="1" w:lastRow="0" w:firstColumn="1" w:lastColumn="0" w:noHBand="0" w:noVBand="1"/>
      </w:tblPr>
      <w:tblGrid>
        <w:gridCol w:w="2436"/>
        <w:gridCol w:w="1558"/>
        <w:gridCol w:w="4078"/>
      </w:tblGrid>
      <w:tr w:rsidR="00AF61A9" w14:paraId="217CBA13" w14:textId="77777777" w:rsidTr="00AF61A9">
        <w:trPr>
          <w:tblHeader/>
        </w:trPr>
        <w:tc>
          <w:tcPr>
            <w:tcW w:w="1509" w:type="pct"/>
            <w:tcBorders>
              <w:bottom w:val="single" w:sz="6" w:space="0" w:color="993333"/>
            </w:tcBorders>
            <w:shd w:val="clear" w:color="auto" w:fill="F2E9E9"/>
            <w:tcMar>
              <w:top w:w="90" w:type="dxa"/>
              <w:left w:w="120" w:type="dxa"/>
              <w:bottom w:w="90" w:type="dxa"/>
              <w:right w:w="120" w:type="dxa"/>
            </w:tcMar>
          </w:tcPr>
          <w:p w14:paraId="2D1D4B74" w14:textId="198CD3CE" w:rsidR="00AF61A9" w:rsidRPr="0062175E" w:rsidRDefault="00AF61A9" w:rsidP="00AF61A9">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62175E">
              <w:rPr>
                <w:rFonts w:ascii="Times New Roman" w:hAnsi="Times New Roman" w:cs="Times New Roman"/>
                <w:b/>
                <w:bCs/>
                <w:sz w:val="24"/>
              </w:rPr>
              <w:t xml:space="preserve">Reagent or Resource </w:t>
            </w:r>
          </w:p>
        </w:tc>
        <w:tc>
          <w:tcPr>
            <w:tcW w:w="965" w:type="pct"/>
            <w:tcBorders>
              <w:bottom w:val="single" w:sz="6" w:space="0" w:color="993333"/>
            </w:tcBorders>
            <w:shd w:val="clear" w:color="auto" w:fill="F2E9E9"/>
            <w:tcMar>
              <w:top w:w="90" w:type="dxa"/>
              <w:left w:w="120" w:type="dxa"/>
              <w:bottom w:w="90" w:type="dxa"/>
              <w:right w:w="120" w:type="dxa"/>
            </w:tcMar>
          </w:tcPr>
          <w:p w14:paraId="57E47B94" w14:textId="69445D74" w:rsidR="00AF61A9" w:rsidRPr="0062175E" w:rsidRDefault="00AF61A9" w:rsidP="00AF61A9">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62175E">
              <w:rPr>
                <w:rFonts w:ascii="Times New Roman" w:hAnsi="Times New Roman" w:cs="Times New Roman"/>
                <w:b/>
                <w:bCs/>
                <w:sz w:val="24"/>
              </w:rPr>
              <w:t>Source</w:t>
            </w:r>
          </w:p>
        </w:tc>
        <w:tc>
          <w:tcPr>
            <w:tcW w:w="2526" w:type="pct"/>
            <w:tcBorders>
              <w:bottom w:val="single" w:sz="6" w:space="0" w:color="993333"/>
            </w:tcBorders>
            <w:shd w:val="clear" w:color="auto" w:fill="F2E9E9"/>
            <w:tcMar>
              <w:top w:w="90" w:type="dxa"/>
              <w:left w:w="120" w:type="dxa"/>
              <w:bottom w:w="90" w:type="dxa"/>
              <w:right w:w="120" w:type="dxa"/>
            </w:tcMar>
          </w:tcPr>
          <w:p w14:paraId="7365BFD1" w14:textId="755F962E" w:rsidR="00AF61A9" w:rsidRPr="0062175E" w:rsidRDefault="00AF61A9" w:rsidP="00AF61A9">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62175E">
              <w:rPr>
                <w:rFonts w:ascii="Times New Roman" w:hAnsi="Times New Roman" w:cs="Times New Roman"/>
                <w:b/>
                <w:bCs/>
                <w:sz w:val="24"/>
              </w:rPr>
              <w:t>Identifier</w:t>
            </w:r>
          </w:p>
        </w:tc>
      </w:tr>
      <w:tr w:rsidR="00AF61A9" w14:paraId="69414D70" w14:textId="77777777" w:rsidTr="00AF5BA1">
        <w:tc>
          <w:tcPr>
            <w:tcW w:w="5000" w:type="pct"/>
            <w:gridSpan w:val="3"/>
            <w:shd w:val="clear" w:color="auto" w:fill="F2E9E9"/>
            <w:tcMar>
              <w:top w:w="90" w:type="dxa"/>
              <w:left w:w="120" w:type="dxa"/>
              <w:bottom w:w="90" w:type="dxa"/>
              <w:right w:w="120" w:type="dxa"/>
            </w:tcMar>
          </w:tcPr>
          <w:p w14:paraId="48FB3C33" w14:textId="618DAEF5" w:rsidR="00AF61A9" w:rsidRDefault="00AF61A9" w:rsidP="00AF5BA1">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AF61A9">
              <w:rPr>
                <w:rFonts w:ascii="Times New Roman" w:eastAsia="宋体" w:hAnsi="Times New Roman" w:cs="Times New Roman"/>
                <w:b/>
                <w:bCs/>
                <w:color w:val="993333"/>
                <w:kern w:val="0"/>
                <w:sz w:val="24"/>
                <w14:ligatures w14:val="none"/>
              </w:rPr>
              <w:t>Antibodies</w:t>
            </w:r>
          </w:p>
        </w:tc>
      </w:tr>
      <w:tr w:rsidR="0062175E" w14:paraId="2E105592" w14:textId="77777777" w:rsidTr="00AF61A9">
        <w:tc>
          <w:tcPr>
            <w:tcW w:w="1509" w:type="pct"/>
            <w:shd w:val="clear" w:color="auto" w:fill="F5F5F5"/>
            <w:tcMar>
              <w:top w:w="75" w:type="dxa"/>
              <w:left w:w="120" w:type="dxa"/>
              <w:bottom w:w="75" w:type="dxa"/>
              <w:right w:w="120" w:type="dxa"/>
            </w:tcMar>
          </w:tcPr>
          <w:p w14:paraId="0944A486" w14:textId="7E8A365C" w:rsidR="0062175E" w:rsidRPr="0062175E" w:rsidRDefault="0062175E" w:rsidP="0062175E">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62175E">
              <w:rPr>
                <w:rFonts w:ascii="Times New Roman" w:hAnsi="Times New Roman" w:cs="Times New Roman"/>
                <w:sz w:val="24"/>
              </w:rPr>
              <w:t>No one in this study used this</w:t>
            </w:r>
          </w:p>
        </w:tc>
        <w:tc>
          <w:tcPr>
            <w:tcW w:w="965" w:type="pct"/>
            <w:shd w:val="clear" w:color="auto" w:fill="F5F5F5"/>
            <w:tcMar>
              <w:top w:w="75" w:type="dxa"/>
              <w:left w:w="120" w:type="dxa"/>
              <w:bottom w:w="75" w:type="dxa"/>
              <w:right w:w="120" w:type="dxa"/>
            </w:tcMar>
          </w:tcPr>
          <w:p w14:paraId="29684C33" w14:textId="18E4FBCF" w:rsidR="0062175E" w:rsidRPr="0062175E" w:rsidRDefault="0062175E" w:rsidP="0062175E">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62175E">
              <w:rPr>
                <w:rFonts w:ascii="Times New Roman" w:hAnsi="Times New Roman" w:cs="Times New Roman"/>
                <w:sz w:val="24"/>
              </w:rPr>
              <w:t>N/A</w:t>
            </w:r>
          </w:p>
        </w:tc>
        <w:tc>
          <w:tcPr>
            <w:tcW w:w="2526" w:type="pct"/>
            <w:shd w:val="clear" w:color="auto" w:fill="F5F5F5"/>
            <w:tcMar>
              <w:top w:w="75" w:type="dxa"/>
              <w:left w:w="120" w:type="dxa"/>
              <w:bottom w:w="75" w:type="dxa"/>
              <w:right w:w="120" w:type="dxa"/>
            </w:tcMar>
          </w:tcPr>
          <w:p w14:paraId="213FF7C0" w14:textId="553FCBB8" w:rsidR="0062175E" w:rsidRPr="0062175E" w:rsidRDefault="0062175E" w:rsidP="0062175E">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62175E">
              <w:rPr>
                <w:rFonts w:ascii="Times New Roman" w:hAnsi="Times New Roman" w:cs="Times New Roman"/>
                <w:sz w:val="24"/>
              </w:rPr>
              <w:t>N/A</w:t>
            </w:r>
          </w:p>
        </w:tc>
      </w:tr>
      <w:tr w:rsidR="00AF61A9" w14:paraId="40C871C2" w14:textId="77777777" w:rsidTr="00AF5BA1">
        <w:tc>
          <w:tcPr>
            <w:tcW w:w="5000" w:type="pct"/>
            <w:gridSpan w:val="3"/>
            <w:shd w:val="clear" w:color="auto" w:fill="F2E9E9"/>
            <w:tcMar>
              <w:top w:w="90" w:type="dxa"/>
              <w:left w:w="120" w:type="dxa"/>
              <w:bottom w:w="90" w:type="dxa"/>
              <w:right w:w="120" w:type="dxa"/>
            </w:tcMar>
          </w:tcPr>
          <w:p w14:paraId="43AF8D31" w14:textId="72E86889" w:rsidR="00AF61A9" w:rsidRDefault="0062175E" w:rsidP="00AF5BA1">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62175E">
              <w:rPr>
                <w:rFonts w:ascii="Times New Roman" w:eastAsia="宋体" w:hAnsi="Times New Roman" w:cs="Times New Roman"/>
                <w:b/>
                <w:bCs/>
                <w:color w:val="993333"/>
                <w:kern w:val="0"/>
                <w:sz w:val="24"/>
                <w14:ligatures w14:val="none"/>
              </w:rPr>
              <w:t>Biological samples</w:t>
            </w:r>
          </w:p>
        </w:tc>
      </w:tr>
      <w:tr w:rsidR="001D5981" w14:paraId="230B46A5" w14:textId="77777777" w:rsidTr="00AF61A9">
        <w:tc>
          <w:tcPr>
            <w:tcW w:w="1509" w:type="pct"/>
            <w:shd w:val="clear" w:color="auto" w:fill="F5F5F5"/>
            <w:tcMar>
              <w:top w:w="75" w:type="dxa"/>
              <w:left w:w="120" w:type="dxa"/>
              <w:bottom w:w="75" w:type="dxa"/>
              <w:right w:w="120" w:type="dxa"/>
            </w:tcMar>
          </w:tcPr>
          <w:p w14:paraId="64C0FAF6" w14:textId="573C65FB"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TCGA DDLPS RNA seq data (n=50)</w:t>
            </w:r>
          </w:p>
        </w:tc>
        <w:tc>
          <w:tcPr>
            <w:tcW w:w="965" w:type="pct"/>
            <w:shd w:val="clear" w:color="auto" w:fill="F5F5F5"/>
            <w:tcMar>
              <w:top w:w="75" w:type="dxa"/>
              <w:left w:w="120" w:type="dxa"/>
              <w:bottom w:w="75" w:type="dxa"/>
              <w:right w:w="120" w:type="dxa"/>
            </w:tcMar>
          </w:tcPr>
          <w:p w14:paraId="5A68A740" w14:textId="6C08E8D4"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The Cancer Genome Atlas (TCGA)</w:t>
            </w:r>
          </w:p>
        </w:tc>
        <w:tc>
          <w:tcPr>
            <w:tcW w:w="2526" w:type="pct"/>
            <w:shd w:val="clear" w:color="auto" w:fill="F5F5F5"/>
            <w:tcMar>
              <w:top w:w="75" w:type="dxa"/>
              <w:left w:w="120" w:type="dxa"/>
              <w:bottom w:w="75" w:type="dxa"/>
              <w:right w:w="120" w:type="dxa"/>
            </w:tcMar>
          </w:tcPr>
          <w:p w14:paraId="7BE53410" w14:textId="1D1977E3"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https://portal.gdc.cancer.gov/</w:t>
            </w:r>
          </w:p>
        </w:tc>
      </w:tr>
      <w:tr w:rsidR="00AF61A9" w14:paraId="462633C4" w14:textId="77777777" w:rsidTr="00AF61A9">
        <w:tc>
          <w:tcPr>
            <w:tcW w:w="1509" w:type="pct"/>
            <w:shd w:val="clear" w:color="auto" w:fill="FFFFFF"/>
            <w:tcMar>
              <w:top w:w="75" w:type="dxa"/>
              <w:left w:w="120" w:type="dxa"/>
              <w:bottom w:w="75" w:type="dxa"/>
              <w:right w:w="120" w:type="dxa"/>
            </w:tcMar>
          </w:tcPr>
          <w:p w14:paraId="02A1F319" w14:textId="77777777" w:rsidR="00AF61A9" w:rsidRDefault="00AF61A9" w:rsidP="00AF5BA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color w:val="333333"/>
                <w:kern w:val="0"/>
                <w:sz w:val="24"/>
                <w14:ligatures w14:val="none"/>
              </w:rPr>
              <w:t>GSE21122 expression data (n=158)</w:t>
            </w:r>
          </w:p>
        </w:tc>
        <w:tc>
          <w:tcPr>
            <w:tcW w:w="965" w:type="pct"/>
            <w:shd w:val="clear" w:color="auto" w:fill="FFFFFF"/>
            <w:tcMar>
              <w:top w:w="75" w:type="dxa"/>
              <w:left w:w="120" w:type="dxa"/>
              <w:bottom w:w="75" w:type="dxa"/>
              <w:right w:w="120" w:type="dxa"/>
            </w:tcMar>
          </w:tcPr>
          <w:p w14:paraId="19F7C0AE" w14:textId="77777777" w:rsidR="00AF61A9" w:rsidRDefault="00AF61A9" w:rsidP="00AF5BA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color w:val="333333"/>
                <w:kern w:val="0"/>
                <w:sz w:val="24"/>
                <w14:ligatures w14:val="none"/>
              </w:rPr>
              <w:t>Gene Expression Omnibus (GEO)</w:t>
            </w:r>
          </w:p>
        </w:tc>
        <w:tc>
          <w:tcPr>
            <w:tcW w:w="2526" w:type="pct"/>
            <w:shd w:val="clear" w:color="auto" w:fill="FFFFFF"/>
            <w:tcMar>
              <w:top w:w="75" w:type="dxa"/>
              <w:left w:w="120" w:type="dxa"/>
              <w:bottom w:w="75" w:type="dxa"/>
              <w:right w:w="120" w:type="dxa"/>
            </w:tcMar>
          </w:tcPr>
          <w:p w14:paraId="50A78856" w14:textId="77777777" w:rsidR="00AF61A9" w:rsidRDefault="00AF61A9" w:rsidP="00AF5BA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color w:val="333333"/>
                <w:kern w:val="0"/>
                <w:sz w:val="24"/>
                <w14:ligatures w14:val="none"/>
              </w:rPr>
              <w:t>GSE21122; https://www.ncbi.nlm.nih.gov/geo/query/acc.cgi?acc=GSE21122</w:t>
            </w:r>
          </w:p>
        </w:tc>
      </w:tr>
      <w:tr w:rsidR="001D5981" w14:paraId="76A8EC2A" w14:textId="77777777" w:rsidTr="00AF61A9">
        <w:tc>
          <w:tcPr>
            <w:tcW w:w="1509" w:type="pct"/>
            <w:shd w:val="clear" w:color="auto" w:fill="F5F5F5"/>
            <w:tcMar>
              <w:top w:w="75" w:type="dxa"/>
              <w:left w:w="120" w:type="dxa"/>
              <w:bottom w:w="75" w:type="dxa"/>
              <w:right w:w="120" w:type="dxa"/>
            </w:tcMar>
          </w:tcPr>
          <w:p w14:paraId="429CCEF4" w14:textId="02CA8CB3"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GSE159659 expression data (n=45)</w:t>
            </w:r>
          </w:p>
        </w:tc>
        <w:tc>
          <w:tcPr>
            <w:tcW w:w="965" w:type="pct"/>
            <w:shd w:val="clear" w:color="auto" w:fill="F5F5F5"/>
            <w:tcMar>
              <w:top w:w="75" w:type="dxa"/>
              <w:left w:w="120" w:type="dxa"/>
              <w:bottom w:w="75" w:type="dxa"/>
              <w:right w:w="120" w:type="dxa"/>
            </w:tcMar>
          </w:tcPr>
          <w:p w14:paraId="14BC3DEF" w14:textId="0414686E"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Gene Expression Omnibus (GEO)</w:t>
            </w:r>
          </w:p>
        </w:tc>
        <w:tc>
          <w:tcPr>
            <w:tcW w:w="2526" w:type="pct"/>
            <w:shd w:val="clear" w:color="auto" w:fill="F5F5F5"/>
            <w:tcMar>
              <w:top w:w="75" w:type="dxa"/>
              <w:left w:w="120" w:type="dxa"/>
              <w:bottom w:w="75" w:type="dxa"/>
              <w:right w:w="120" w:type="dxa"/>
            </w:tcMar>
          </w:tcPr>
          <w:p w14:paraId="14A0C4C1" w14:textId="274E4C0D" w:rsidR="001D5981" w:rsidRP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D5981">
              <w:rPr>
                <w:rFonts w:ascii="Times New Roman" w:hAnsi="Times New Roman" w:cs="Times New Roman"/>
                <w:sz w:val="24"/>
              </w:rPr>
              <w:t>GSE159659; https://www.ncbi.nlm.nih.gov/geo/query/acc.cgi?acc=GSE159659</w:t>
            </w:r>
          </w:p>
        </w:tc>
      </w:tr>
      <w:tr w:rsidR="001D5981" w14:paraId="2E4B92CA" w14:textId="77777777" w:rsidTr="00AF61A9">
        <w:tc>
          <w:tcPr>
            <w:tcW w:w="1509" w:type="pct"/>
            <w:shd w:val="clear" w:color="auto" w:fill="FFFFFF"/>
            <w:tcMar>
              <w:top w:w="75" w:type="dxa"/>
              <w:left w:w="120" w:type="dxa"/>
              <w:bottom w:w="75" w:type="dxa"/>
              <w:right w:w="120" w:type="dxa"/>
            </w:tcMar>
          </w:tcPr>
          <w:p w14:paraId="4978EF1C" w14:textId="7C161F62" w:rsid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360AB4">
              <w:rPr>
                <w:rFonts w:hint="eastAsia"/>
              </w:rPr>
              <w:t>TCGA clinical data</w:t>
            </w:r>
          </w:p>
        </w:tc>
        <w:tc>
          <w:tcPr>
            <w:tcW w:w="965" w:type="pct"/>
            <w:shd w:val="clear" w:color="auto" w:fill="FFFFFF"/>
            <w:tcMar>
              <w:top w:w="75" w:type="dxa"/>
              <w:left w:w="120" w:type="dxa"/>
              <w:bottom w:w="75" w:type="dxa"/>
              <w:right w:w="120" w:type="dxa"/>
            </w:tcMar>
          </w:tcPr>
          <w:p w14:paraId="3F79D5B8" w14:textId="73982FF5" w:rsid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360AB4">
              <w:rPr>
                <w:rFonts w:hint="eastAsia"/>
              </w:rPr>
              <w:t>The Cancer Genome Atlas (TCGA)</w:t>
            </w:r>
          </w:p>
        </w:tc>
        <w:tc>
          <w:tcPr>
            <w:tcW w:w="2526" w:type="pct"/>
            <w:shd w:val="clear" w:color="auto" w:fill="FFFFFF"/>
            <w:tcMar>
              <w:top w:w="75" w:type="dxa"/>
              <w:left w:w="120" w:type="dxa"/>
              <w:bottom w:w="75" w:type="dxa"/>
              <w:right w:w="120" w:type="dxa"/>
            </w:tcMar>
          </w:tcPr>
          <w:p w14:paraId="0F85DA0D" w14:textId="77777777" w:rsidR="001D5981" w:rsidRDefault="001D5981" w:rsidP="001D5981">
            <w:pPr>
              <w:keepLines/>
              <w:widowControl/>
              <w:suppressAutoHyphens/>
              <w:kinsoku w:val="0"/>
              <w:spacing w:after="150" w:line="240" w:lineRule="auto"/>
              <w:jc w:val="both"/>
              <w:rPr>
                <w:rFonts w:hint="eastAsia"/>
              </w:rPr>
            </w:pPr>
            <w:r w:rsidRPr="00360AB4">
              <w:rPr>
                <w:rFonts w:hint="eastAsia"/>
              </w:rPr>
              <w:t>TCGA SARC;</w:t>
            </w:r>
          </w:p>
          <w:p w14:paraId="4008D7CC" w14:textId="4459EB18" w:rsidR="001D5981" w:rsidRDefault="001D5981" w:rsidP="001D5981">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360AB4">
              <w:rPr>
                <w:rFonts w:hint="eastAsia"/>
              </w:rPr>
              <w:t>https://portal.gdc.cancer.gov/</w:t>
            </w:r>
          </w:p>
        </w:tc>
      </w:tr>
      <w:tr w:rsidR="00AF61A9" w14:paraId="6F854364" w14:textId="77777777" w:rsidTr="00AF5BA1">
        <w:tc>
          <w:tcPr>
            <w:tcW w:w="5000" w:type="pct"/>
            <w:gridSpan w:val="3"/>
            <w:shd w:val="clear" w:color="auto" w:fill="F2E9E9"/>
            <w:tcMar>
              <w:top w:w="90" w:type="dxa"/>
              <w:left w:w="120" w:type="dxa"/>
              <w:bottom w:w="90" w:type="dxa"/>
              <w:right w:w="120" w:type="dxa"/>
            </w:tcMar>
          </w:tcPr>
          <w:p w14:paraId="244B1585" w14:textId="7AFDF4BD" w:rsidR="00AF61A9" w:rsidRDefault="001D5981" w:rsidP="00AF5BA1">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1D5981">
              <w:rPr>
                <w:rFonts w:ascii="Times New Roman" w:eastAsia="宋体" w:hAnsi="Times New Roman" w:cs="Times New Roman"/>
                <w:b/>
                <w:bCs/>
                <w:color w:val="993333"/>
                <w:kern w:val="0"/>
                <w:sz w:val="24"/>
                <w14:ligatures w14:val="none"/>
              </w:rPr>
              <w:t>Critical commercial assays</w:t>
            </w:r>
          </w:p>
        </w:tc>
      </w:tr>
      <w:tr w:rsidR="00817F17" w14:paraId="0D751218" w14:textId="77777777" w:rsidTr="008E4477">
        <w:tc>
          <w:tcPr>
            <w:tcW w:w="1509" w:type="pct"/>
            <w:shd w:val="clear" w:color="auto" w:fill="F5F5F5"/>
            <w:tcMar>
              <w:top w:w="75" w:type="dxa"/>
              <w:left w:w="120" w:type="dxa"/>
              <w:bottom w:w="75" w:type="dxa"/>
              <w:right w:w="120" w:type="dxa"/>
            </w:tcMar>
          </w:tcPr>
          <w:p w14:paraId="3F6B9397" w14:textId="6829C2CE" w:rsidR="00817F17" w:rsidRPr="00AA0162" w:rsidRDefault="00817F17" w:rsidP="00817F17">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817F17">
              <w:rPr>
                <w:rFonts w:ascii="Times New Roman" w:hAnsi="Times New Roman" w:cs="Times New Roman"/>
                <w:sz w:val="24"/>
              </w:rPr>
              <w:lastRenderedPageBreak/>
              <w:t>Not applicable for none used in this study (retrospective analysis of public data).</w:t>
            </w:r>
          </w:p>
        </w:tc>
        <w:tc>
          <w:tcPr>
            <w:tcW w:w="965" w:type="pct"/>
            <w:shd w:val="clear" w:color="auto" w:fill="F5F5F5"/>
            <w:tcMar>
              <w:top w:w="75" w:type="dxa"/>
              <w:left w:w="120" w:type="dxa"/>
              <w:bottom w:w="75" w:type="dxa"/>
              <w:right w:w="120" w:type="dxa"/>
            </w:tcMar>
          </w:tcPr>
          <w:p w14:paraId="1D09CF90" w14:textId="5254311B" w:rsidR="00817F17" w:rsidRPr="002E470D" w:rsidRDefault="00817F17" w:rsidP="00817F17">
            <w:pPr>
              <w:keepLines/>
              <w:widowControl/>
              <w:suppressAutoHyphens/>
              <w:kinsoku w:val="0"/>
              <w:spacing w:after="150" w:line="240" w:lineRule="auto"/>
              <w:jc w:val="both"/>
              <w:rPr>
                <w:rFonts w:ascii="Times New Roman" w:eastAsia="宋体" w:hAnsi="Times New Roman" w:cs="Times New Roman"/>
                <w:kern w:val="0"/>
                <w:sz w:val="24"/>
                <w14:ligatures w14:val="none"/>
              </w:rPr>
            </w:pPr>
            <w:r w:rsidRPr="00817F17">
              <w:rPr>
                <w:rFonts w:ascii="Times New Roman" w:hAnsi="Times New Roman" w:cs="Times New Roman"/>
                <w:sz w:val="24"/>
              </w:rPr>
              <w:t>N/A</w:t>
            </w:r>
          </w:p>
        </w:tc>
        <w:tc>
          <w:tcPr>
            <w:tcW w:w="2526" w:type="pct"/>
            <w:shd w:val="clear" w:color="auto" w:fill="F5F5F5"/>
            <w:tcMar>
              <w:top w:w="75" w:type="dxa"/>
              <w:left w:w="120" w:type="dxa"/>
              <w:bottom w:w="75" w:type="dxa"/>
              <w:right w:w="120" w:type="dxa"/>
            </w:tcMar>
          </w:tcPr>
          <w:p w14:paraId="1C6C9AA3" w14:textId="5A246B0B" w:rsidR="00817F17" w:rsidRPr="002E470D" w:rsidRDefault="00817F17" w:rsidP="00817F17">
            <w:pPr>
              <w:keepLines/>
              <w:widowControl/>
              <w:suppressAutoHyphens/>
              <w:kinsoku w:val="0"/>
              <w:spacing w:after="150" w:line="240" w:lineRule="auto"/>
              <w:jc w:val="both"/>
              <w:rPr>
                <w:rFonts w:ascii="Times New Roman" w:eastAsia="宋体" w:hAnsi="Times New Roman" w:cs="Times New Roman"/>
                <w:kern w:val="0"/>
                <w:sz w:val="24"/>
                <w14:ligatures w14:val="none"/>
              </w:rPr>
            </w:pPr>
            <w:r w:rsidRPr="00817F17">
              <w:rPr>
                <w:rFonts w:ascii="Times New Roman" w:hAnsi="Times New Roman" w:cs="Times New Roman"/>
                <w:sz w:val="24"/>
              </w:rPr>
              <w:t>N/A</w:t>
            </w:r>
          </w:p>
        </w:tc>
      </w:tr>
      <w:tr w:rsidR="00817F17" w14:paraId="337A2E0B" w14:textId="77777777" w:rsidTr="00AF5BA1">
        <w:tc>
          <w:tcPr>
            <w:tcW w:w="5000" w:type="pct"/>
            <w:gridSpan w:val="3"/>
            <w:shd w:val="clear" w:color="auto" w:fill="F2E9E9"/>
            <w:tcMar>
              <w:top w:w="90" w:type="dxa"/>
              <w:left w:w="120" w:type="dxa"/>
              <w:bottom w:w="90" w:type="dxa"/>
              <w:right w:w="120" w:type="dxa"/>
            </w:tcMar>
          </w:tcPr>
          <w:p w14:paraId="338C9699" w14:textId="79BF2254" w:rsidR="00817F17" w:rsidRDefault="00817F17" w:rsidP="00817F17">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1D5981">
              <w:rPr>
                <w:rFonts w:ascii="Times New Roman" w:eastAsia="宋体" w:hAnsi="Times New Roman" w:cs="Times New Roman"/>
                <w:b/>
                <w:bCs/>
                <w:color w:val="993333"/>
                <w:kern w:val="0"/>
                <w:sz w:val="24"/>
                <w14:ligatures w14:val="none"/>
              </w:rPr>
              <w:t>Deposited data</w:t>
            </w:r>
          </w:p>
        </w:tc>
      </w:tr>
      <w:tr w:rsidR="00817F17" w14:paraId="4891D49D" w14:textId="77777777" w:rsidTr="00D57439">
        <w:tc>
          <w:tcPr>
            <w:tcW w:w="1509" w:type="pct"/>
            <w:tcMar>
              <w:top w:w="75" w:type="dxa"/>
              <w:left w:w="120" w:type="dxa"/>
              <w:bottom w:w="75" w:type="dxa"/>
              <w:right w:w="120" w:type="dxa"/>
            </w:tcMar>
          </w:tcPr>
          <w:p w14:paraId="71453A41" w14:textId="44397548" w:rsidR="00817F17" w:rsidRPr="00F24FCE" w:rsidRDefault="00817F17" w:rsidP="00817F17">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AA0162">
              <w:rPr>
                <w:rFonts w:ascii="Times New Roman" w:eastAsia="宋体" w:hAnsi="Times New Roman" w:cs="Times New Roman"/>
                <w:kern w:val="0"/>
                <w:sz w:val="24"/>
                <w14:ligatures w14:val="none"/>
              </w:rPr>
              <w:t>Differentially expressed genes (high score vs low score)</w:t>
            </w:r>
          </w:p>
        </w:tc>
        <w:tc>
          <w:tcPr>
            <w:tcW w:w="965" w:type="pct"/>
            <w:tcMar>
              <w:top w:w="75" w:type="dxa"/>
              <w:left w:w="120" w:type="dxa"/>
              <w:bottom w:w="75" w:type="dxa"/>
              <w:right w:w="120" w:type="dxa"/>
            </w:tcMar>
          </w:tcPr>
          <w:p w14:paraId="07D8BCCA" w14:textId="3C341AA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2E470D">
              <w:rPr>
                <w:rFonts w:ascii="Times New Roman" w:eastAsia="宋体" w:hAnsi="Times New Roman" w:cs="Times New Roman"/>
                <w:kern w:val="0"/>
                <w:sz w:val="24"/>
                <w14:ligatures w14:val="none"/>
              </w:rPr>
              <w:t>This study</w:t>
            </w:r>
          </w:p>
        </w:tc>
        <w:tc>
          <w:tcPr>
            <w:tcW w:w="2526" w:type="pct"/>
            <w:tcMar>
              <w:top w:w="75" w:type="dxa"/>
              <w:left w:w="120" w:type="dxa"/>
              <w:bottom w:w="75" w:type="dxa"/>
              <w:right w:w="120" w:type="dxa"/>
            </w:tcMar>
          </w:tcPr>
          <w:p w14:paraId="20CF3786" w14:textId="381AC3F6"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2E470D">
              <w:rPr>
                <w:rFonts w:ascii="Times New Roman" w:eastAsia="宋体" w:hAnsi="Times New Roman" w:cs="Times New Roman"/>
                <w:kern w:val="0"/>
                <w:sz w:val="24"/>
                <w14:ligatures w14:val="none"/>
              </w:rPr>
              <w:t>Table S1 (52 upregulated, 5 downregulated genes)</w:t>
            </w:r>
          </w:p>
        </w:tc>
      </w:tr>
      <w:tr w:rsidR="00817F17" w14:paraId="463DBF54" w14:textId="77777777" w:rsidTr="00072B7C">
        <w:tc>
          <w:tcPr>
            <w:tcW w:w="1509" w:type="pct"/>
            <w:tcBorders>
              <w:bottom w:val="nil"/>
            </w:tcBorders>
            <w:shd w:val="clear" w:color="auto" w:fill="F5F5F5"/>
            <w:tcMar>
              <w:top w:w="75" w:type="dxa"/>
              <w:left w:w="120" w:type="dxa"/>
              <w:bottom w:w="75" w:type="dxa"/>
              <w:right w:w="120" w:type="dxa"/>
            </w:tcMar>
          </w:tcPr>
          <w:p w14:paraId="486BB391" w14:textId="77777777" w:rsidR="00817F17" w:rsidRDefault="00817F17" w:rsidP="00817F17">
            <w:pPr>
              <w:keepLines/>
              <w:widowControl/>
              <w:suppressAutoHyphens/>
              <w:kinsoku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 xml:space="preserve">The six core lipid metabolism genes: </w:t>
            </w:r>
          </w:p>
          <w:p w14:paraId="1D966913" w14:textId="31CAB41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
        </w:tc>
        <w:tc>
          <w:tcPr>
            <w:tcW w:w="965" w:type="pct"/>
            <w:tcBorders>
              <w:bottom w:val="nil"/>
            </w:tcBorders>
            <w:shd w:val="clear" w:color="auto" w:fill="F5F5F5"/>
            <w:tcMar>
              <w:top w:w="75" w:type="dxa"/>
              <w:left w:w="120" w:type="dxa"/>
              <w:bottom w:w="75" w:type="dxa"/>
              <w:right w:w="120" w:type="dxa"/>
            </w:tcMar>
          </w:tcPr>
          <w:p w14:paraId="2E49AFCE" w14:textId="05256B3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kern w:val="0"/>
                <w:sz w:val="24"/>
                <w14:ligatures w14:val="none"/>
              </w:rPr>
              <w:t xml:space="preserve">This study </w:t>
            </w:r>
          </w:p>
        </w:tc>
        <w:tc>
          <w:tcPr>
            <w:tcW w:w="2526" w:type="pct"/>
            <w:tcBorders>
              <w:bottom w:val="nil"/>
            </w:tcBorders>
            <w:shd w:val="clear" w:color="auto" w:fill="F5F5F5"/>
            <w:tcMar>
              <w:top w:w="75" w:type="dxa"/>
              <w:left w:w="120" w:type="dxa"/>
              <w:bottom w:w="75" w:type="dxa"/>
              <w:right w:w="120" w:type="dxa"/>
            </w:tcMar>
          </w:tcPr>
          <w:p w14:paraId="5BEA4AA0" w14:textId="0DA92120"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kern w:val="0"/>
                <w:sz w:val="24"/>
                <w14:ligatures w14:val="none"/>
              </w:rPr>
              <w:t>(Table S2</w:t>
            </w:r>
            <w:proofErr w:type="gramStart"/>
            <w:r>
              <w:rPr>
                <w:rFonts w:ascii="Times New Roman" w:eastAsia="宋体" w:hAnsi="Times New Roman" w:cs="Times New Roman"/>
                <w:kern w:val="0"/>
                <w:sz w:val="24"/>
                <w14:ligatures w14:val="none"/>
              </w:rPr>
              <w:t>).FASN</w:t>
            </w:r>
            <w:proofErr w:type="gramEnd"/>
            <w:r>
              <w:rPr>
                <w:rFonts w:ascii="Times New Roman" w:eastAsia="宋体" w:hAnsi="Times New Roman" w:cs="Times New Roman"/>
                <w:kern w:val="0"/>
                <w:sz w:val="24"/>
                <w14:ligatures w14:val="none"/>
              </w:rPr>
              <w:t>, ACLY, SCD, SREBF1, HMGCR, PPARG are studied in</w:t>
            </w:r>
          </w:p>
        </w:tc>
      </w:tr>
      <w:tr w:rsidR="00817F17" w14:paraId="6BD5678C" w14:textId="77777777" w:rsidTr="00072B7C">
        <w:tc>
          <w:tcPr>
            <w:tcW w:w="1509" w:type="pct"/>
            <w:tcBorders>
              <w:top w:val="nil"/>
              <w:left w:val="nil"/>
              <w:bottom w:val="nil"/>
              <w:right w:val="nil"/>
            </w:tcBorders>
            <w:tcMar>
              <w:top w:w="75" w:type="dxa"/>
              <w:left w:w="120" w:type="dxa"/>
              <w:bottom w:w="75" w:type="dxa"/>
              <w:right w:w="120" w:type="dxa"/>
            </w:tcMar>
          </w:tcPr>
          <w:p w14:paraId="49E1E63C" w14:textId="6E618F05"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kern w:val="0"/>
                <w:sz w:val="24"/>
                <w14:ligatures w14:val="none"/>
              </w:rPr>
              <w:t>Significantly enriched Hallmark pathways</w:t>
            </w:r>
          </w:p>
        </w:tc>
        <w:tc>
          <w:tcPr>
            <w:tcW w:w="965" w:type="pct"/>
            <w:tcBorders>
              <w:top w:val="nil"/>
              <w:left w:val="nil"/>
              <w:bottom w:val="nil"/>
              <w:right w:val="nil"/>
            </w:tcBorders>
            <w:tcMar>
              <w:top w:w="75" w:type="dxa"/>
              <w:left w:w="120" w:type="dxa"/>
              <w:bottom w:w="75" w:type="dxa"/>
              <w:right w:w="120" w:type="dxa"/>
            </w:tcMar>
          </w:tcPr>
          <w:p w14:paraId="7A4A7B23" w14:textId="5A99257F"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kern w:val="0"/>
                <w:sz w:val="24"/>
                <w14:ligatures w14:val="none"/>
              </w:rPr>
              <w:t>This study</w:t>
            </w:r>
          </w:p>
        </w:tc>
        <w:tc>
          <w:tcPr>
            <w:tcW w:w="2526" w:type="pct"/>
            <w:tcBorders>
              <w:top w:val="nil"/>
              <w:left w:val="nil"/>
              <w:bottom w:val="nil"/>
              <w:right w:val="nil"/>
            </w:tcBorders>
            <w:tcMar>
              <w:top w:w="75" w:type="dxa"/>
              <w:left w:w="120" w:type="dxa"/>
              <w:bottom w:w="75" w:type="dxa"/>
              <w:right w:w="120" w:type="dxa"/>
            </w:tcMar>
          </w:tcPr>
          <w:p w14:paraId="1662EAC6" w14:textId="7E3AB84F"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kern w:val="0"/>
                <w:sz w:val="24"/>
                <w14:ligatures w14:val="none"/>
              </w:rPr>
              <w:t>Table S3 (36 pathways, FDR &lt; 0.05)</w:t>
            </w:r>
          </w:p>
        </w:tc>
      </w:tr>
      <w:tr w:rsidR="00817F17" w14:paraId="444188BC" w14:textId="77777777" w:rsidTr="00072B7C">
        <w:tc>
          <w:tcPr>
            <w:tcW w:w="1509" w:type="pct"/>
            <w:tcBorders>
              <w:top w:val="nil"/>
            </w:tcBorders>
            <w:shd w:val="clear" w:color="auto" w:fill="F5F5F5"/>
            <w:tcMar>
              <w:top w:w="75" w:type="dxa"/>
              <w:left w:w="120" w:type="dxa"/>
              <w:bottom w:w="75" w:type="dxa"/>
              <w:right w:w="120" w:type="dxa"/>
            </w:tcMar>
          </w:tcPr>
          <w:p w14:paraId="74F259D8" w14:textId="4850256F" w:rsidR="00817F17" w:rsidRPr="002630CE"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2630CE">
              <w:rPr>
                <w:rFonts w:ascii="Times New Roman" w:hAnsi="Times New Roman" w:cs="Times New Roman"/>
                <w:sz w:val="24"/>
              </w:rPr>
              <w:t>Immune cell marker genes</w:t>
            </w:r>
          </w:p>
        </w:tc>
        <w:tc>
          <w:tcPr>
            <w:tcW w:w="965" w:type="pct"/>
            <w:tcBorders>
              <w:top w:val="nil"/>
            </w:tcBorders>
            <w:shd w:val="clear" w:color="auto" w:fill="F5F5F5"/>
            <w:tcMar>
              <w:top w:w="75" w:type="dxa"/>
              <w:left w:w="120" w:type="dxa"/>
              <w:bottom w:w="75" w:type="dxa"/>
              <w:right w:w="120" w:type="dxa"/>
            </w:tcMar>
          </w:tcPr>
          <w:p w14:paraId="106DBA91" w14:textId="62584DF7" w:rsidR="00817F17" w:rsidRPr="002630CE"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2630CE">
              <w:rPr>
                <w:rFonts w:ascii="Times New Roman" w:hAnsi="Times New Roman" w:cs="Times New Roman"/>
                <w:sz w:val="24"/>
              </w:rPr>
              <w:t>This study</w:t>
            </w:r>
          </w:p>
        </w:tc>
        <w:tc>
          <w:tcPr>
            <w:tcW w:w="2526" w:type="pct"/>
            <w:tcBorders>
              <w:top w:val="nil"/>
            </w:tcBorders>
            <w:shd w:val="clear" w:color="auto" w:fill="F5F5F5"/>
            <w:tcMar>
              <w:top w:w="75" w:type="dxa"/>
              <w:left w:w="120" w:type="dxa"/>
              <w:bottom w:w="75" w:type="dxa"/>
              <w:right w:w="120" w:type="dxa"/>
            </w:tcMar>
          </w:tcPr>
          <w:p w14:paraId="5C9B1355" w14:textId="41BF283B" w:rsidR="00817F17" w:rsidRPr="002630CE"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2630CE">
              <w:rPr>
                <w:rFonts w:ascii="Times New Roman" w:hAnsi="Times New Roman" w:cs="Times New Roman"/>
                <w:sz w:val="24"/>
              </w:rPr>
              <w:t>Table S4 (CD8+ T cells, CD4+ T cells, Tregs, B cells, NK cells, macrophages)</w:t>
            </w:r>
          </w:p>
        </w:tc>
      </w:tr>
      <w:tr w:rsidR="00817F17" w14:paraId="7DC7E844" w14:textId="77777777" w:rsidTr="00AF5BA1">
        <w:tc>
          <w:tcPr>
            <w:tcW w:w="5000" w:type="pct"/>
            <w:gridSpan w:val="3"/>
            <w:shd w:val="clear" w:color="auto" w:fill="F2E9E9"/>
            <w:tcMar>
              <w:top w:w="90" w:type="dxa"/>
              <w:left w:w="120" w:type="dxa"/>
              <w:bottom w:w="90" w:type="dxa"/>
              <w:right w:w="120" w:type="dxa"/>
            </w:tcMar>
          </w:tcPr>
          <w:p w14:paraId="21275A82" w14:textId="13A6E2A9" w:rsidR="00817F17" w:rsidRDefault="00817F17" w:rsidP="00817F17">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76076C">
              <w:rPr>
                <w:rFonts w:ascii="Times New Roman" w:eastAsia="宋体" w:hAnsi="Times New Roman" w:cs="Times New Roman"/>
                <w:b/>
                <w:bCs/>
                <w:color w:val="993333"/>
                <w:kern w:val="0"/>
                <w:sz w:val="24"/>
                <w14:ligatures w14:val="none"/>
              </w:rPr>
              <w:t>Software and algorithms</w:t>
            </w:r>
          </w:p>
        </w:tc>
      </w:tr>
      <w:tr w:rsidR="00817F17" w14:paraId="18296FAF" w14:textId="77777777" w:rsidTr="00AF61A9">
        <w:tc>
          <w:tcPr>
            <w:tcW w:w="1509" w:type="pct"/>
            <w:shd w:val="clear" w:color="auto" w:fill="F5F5F5"/>
            <w:tcMar>
              <w:top w:w="75" w:type="dxa"/>
              <w:left w:w="120" w:type="dxa"/>
              <w:bottom w:w="75" w:type="dxa"/>
              <w:right w:w="120" w:type="dxa"/>
            </w:tcMar>
          </w:tcPr>
          <w:p w14:paraId="79267DFF" w14:textId="5CB3E39F"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R Statistical Software v4.6.0</w:t>
            </w:r>
          </w:p>
        </w:tc>
        <w:tc>
          <w:tcPr>
            <w:tcW w:w="965" w:type="pct"/>
            <w:shd w:val="clear" w:color="auto" w:fill="F5F5F5"/>
            <w:tcMar>
              <w:top w:w="75" w:type="dxa"/>
              <w:left w:w="120" w:type="dxa"/>
              <w:bottom w:w="75" w:type="dxa"/>
              <w:right w:w="120" w:type="dxa"/>
            </w:tcMar>
          </w:tcPr>
          <w:p w14:paraId="54BCA53C" w14:textId="60A51AD6"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R Core Team</w:t>
            </w:r>
          </w:p>
        </w:tc>
        <w:tc>
          <w:tcPr>
            <w:tcW w:w="2526" w:type="pct"/>
            <w:shd w:val="clear" w:color="auto" w:fill="F5F5F5"/>
            <w:tcMar>
              <w:top w:w="75" w:type="dxa"/>
              <w:left w:w="120" w:type="dxa"/>
              <w:bottom w:w="75" w:type="dxa"/>
              <w:right w:w="120" w:type="dxa"/>
            </w:tcMar>
          </w:tcPr>
          <w:p w14:paraId="7A8D234E" w14:textId="77777777" w:rsidR="00817F17" w:rsidRPr="000453C8" w:rsidRDefault="00817F17" w:rsidP="00817F17">
            <w:pPr>
              <w:keepLines/>
              <w:widowControl/>
              <w:suppressAutoHyphens/>
              <w:kinsoku w:val="0"/>
              <w:spacing w:after="150" w:line="240" w:lineRule="auto"/>
              <w:jc w:val="both"/>
              <w:rPr>
                <w:rFonts w:ascii="Times New Roman" w:hAnsi="Times New Roman" w:cs="Times New Roman"/>
                <w:sz w:val="24"/>
              </w:rPr>
            </w:pPr>
            <w:r w:rsidRPr="000453C8">
              <w:rPr>
                <w:rFonts w:ascii="Times New Roman" w:hAnsi="Times New Roman" w:cs="Times New Roman"/>
                <w:sz w:val="24"/>
              </w:rPr>
              <w:t xml:space="preserve">RRID:SCR_001905; </w:t>
            </w:r>
          </w:p>
          <w:p w14:paraId="641BC38A" w14:textId="5C24603E"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https://www.r project.org/</w:t>
            </w:r>
          </w:p>
        </w:tc>
      </w:tr>
      <w:tr w:rsidR="00817F17" w14:paraId="790CA244" w14:textId="77777777" w:rsidTr="00AF61A9">
        <w:tc>
          <w:tcPr>
            <w:tcW w:w="1509" w:type="pct"/>
            <w:shd w:val="clear" w:color="auto" w:fill="FFFFFF"/>
            <w:tcMar>
              <w:top w:w="75" w:type="dxa"/>
              <w:left w:w="120" w:type="dxa"/>
              <w:bottom w:w="75" w:type="dxa"/>
              <w:right w:w="120" w:type="dxa"/>
            </w:tcMar>
          </w:tcPr>
          <w:p w14:paraId="08AE4B4B" w14:textId="2C5B7CBF"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0453C8">
              <w:rPr>
                <w:rFonts w:ascii="Times New Roman" w:hAnsi="Times New Roman" w:cs="Times New Roman"/>
                <w:sz w:val="24"/>
              </w:rPr>
              <w:t>limma</w:t>
            </w:r>
            <w:proofErr w:type="spellEnd"/>
            <w:r w:rsidRPr="000453C8">
              <w:rPr>
                <w:rFonts w:ascii="Times New Roman" w:hAnsi="Times New Roman" w:cs="Times New Roman"/>
                <w:sz w:val="24"/>
              </w:rPr>
              <w:t xml:space="preserve"> v3.56.2</w:t>
            </w:r>
          </w:p>
        </w:tc>
        <w:tc>
          <w:tcPr>
            <w:tcW w:w="965" w:type="pct"/>
            <w:shd w:val="clear" w:color="auto" w:fill="FFFFFF"/>
            <w:tcMar>
              <w:top w:w="75" w:type="dxa"/>
              <w:left w:w="120" w:type="dxa"/>
              <w:bottom w:w="75" w:type="dxa"/>
              <w:right w:w="120" w:type="dxa"/>
            </w:tcMar>
          </w:tcPr>
          <w:p w14:paraId="218B30FF" w14:textId="034ED5D1"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Bioconductor</w:t>
            </w:r>
          </w:p>
        </w:tc>
        <w:tc>
          <w:tcPr>
            <w:tcW w:w="2526" w:type="pct"/>
            <w:shd w:val="clear" w:color="auto" w:fill="FFFFFF"/>
            <w:tcMar>
              <w:top w:w="75" w:type="dxa"/>
              <w:left w:w="120" w:type="dxa"/>
              <w:bottom w:w="75" w:type="dxa"/>
              <w:right w:w="120" w:type="dxa"/>
            </w:tcMar>
          </w:tcPr>
          <w:p w14:paraId="73E37BAD" w14:textId="384F227E"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https://bioconductor.org/packages/limma/</w:t>
            </w:r>
          </w:p>
        </w:tc>
      </w:tr>
      <w:tr w:rsidR="00817F17" w14:paraId="6190AE1A" w14:textId="77777777" w:rsidTr="00AF61A9">
        <w:tc>
          <w:tcPr>
            <w:tcW w:w="1509" w:type="pct"/>
            <w:shd w:val="clear" w:color="auto" w:fill="F5F5F5"/>
            <w:tcMar>
              <w:top w:w="75" w:type="dxa"/>
              <w:left w:w="120" w:type="dxa"/>
              <w:bottom w:w="75" w:type="dxa"/>
              <w:right w:w="120" w:type="dxa"/>
            </w:tcMar>
          </w:tcPr>
          <w:p w14:paraId="74BA05CF" w14:textId="0C725A6F"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0453C8">
              <w:rPr>
                <w:rFonts w:ascii="Times New Roman" w:hAnsi="Times New Roman" w:cs="Times New Roman"/>
                <w:sz w:val="24"/>
              </w:rPr>
              <w:t>clusterProfiler</w:t>
            </w:r>
            <w:proofErr w:type="spellEnd"/>
          </w:p>
        </w:tc>
        <w:tc>
          <w:tcPr>
            <w:tcW w:w="965" w:type="pct"/>
            <w:shd w:val="clear" w:color="auto" w:fill="F5F5F5"/>
            <w:tcMar>
              <w:top w:w="75" w:type="dxa"/>
              <w:left w:w="120" w:type="dxa"/>
              <w:bottom w:w="75" w:type="dxa"/>
              <w:right w:w="120" w:type="dxa"/>
            </w:tcMar>
          </w:tcPr>
          <w:p w14:paraId="1F7DC0D3" w14:textId="25E029D7"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Bioconductor</w:t>
            </w:r>
          </w:p>
        </w:tc>
        <w:tc>
          <w:tcPr>
            <w:tcW w:w="2526" w:type="pct"/>
            <w:shd w:val="clear" w:color="auto" w:fill="F5F5F5"/>
            <w:tcMar>
              <w:top w:w="75" w:type="dxa"/>
              <w:left w:w="120" w:type="dxa"/>
              <w:bottom w:w="75" w:type="dxa"/>
              <w:right w:w="120" w:type="dxa"/>
            </w:tcMar>
          </w:tcPr>
          <w:p w14:paraId="365B2469" w14:textId="789E6A29"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hAnsi="Times New Roman" w:cs="Times New Roman"/>
                <w:sz w:val="24"/>
              </w:rPr>
              <w:t>https://bioconductor.org/packages/clusterProfiler/</w:t>
            </w:r>
          </w:p>
        </w:tc>
      </w:tr>
      <w:tr w:rsidR="00817F17" w14:paraId="45E1BEBA" w14:textId="77777777" w:rsidTr="00AF61A9">
        <w:tc>
          <w:tcPr>
            <w:tcW w:w="1509" w:type="pct"/>
            <w:shd w:val="clear" w:color="auto" w:fill="FFFFFF"/>
            <w:tcMar>
              <w:top w:w="75" w:type="dxa"/>
              <w:left w:w="120" w:type="dxa"/>
              <w:bottom w:w="75" w:type="dxa"/>
              <w:right w:w="120" w:type="dxa"/>
            </w:tcMar>
          </w:tcPr>
          <w:p w14:paraId="0674131C" w14:textId="79462967"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eastAsia="宋体" w:hAnsi="Times New Roman" w:cs="Times New Roman"/>
                <w:color w:val="333333"/>
                <w:kern w:val="0"/>
                <w:sz w:val="24"/>
                <w14:ligatures w14:val="none"/>
              </w:rPr>
              <w:t>survival v3.5 5</w:t>
            </w:r>
          </w:p>
        </w:tc>
        <w:tc>
          <w:tcPr>
            <w:tcW w:w="965" w:type="pct"/>
            <w:shd w:val="clear" w:color="auto" w:fill="FFFFFF"/>
            <w:tcMar>
              <w:top w:w="75" w:type="dxa"/>
              <w:left w:w="120" w:type="dxa"/>
              <w:bottom w:w="75" w:type="dxa"/>
              <w:right w:w="120" w:type="dxa"/>
            </w:tcMar>
          </w:tcPr>
          <w:p w14:paraId="2E0DCFB9" w14:textId="15F00D68"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eastAsia="宋体" w:hAnsi="Times New Roman" w:cs="Times New Roman"/>
                <w:color w:val="333333"/>
                <w:kern w:val="0"/>
                <w:sz w:val="24"/>
                <w14:ligatures w14:val="none"/>
              </w:rPr>
              <w:t>CRAN</w:t>
            </w:r>
          </w:p>
        </w:tc>
        <w:tc>
          <w:tcPr>
            <w:tcW w:w="2526" w:type="pct"/>
            <w:shd w:val="clear" w:color="auto" w:fill="FFFFFF"/>
            <w:tcMar>
              <w:top w:w="75" w:type="dxa"/>
              <w:left w:w="120" w:type="dxa"/>
              <w:bottom w:w="75" w:type="dxa"/>
              <w:right w:w="120" w:type="dxa"/>
            </w:tcMar>
          </w:tcPr>
          <w:p w14:paraId="62E6A8AC" w14:textId="499D2873" w:rsidR="00817F17" w:rsidRPr="000453C8"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0453C8">
              <w:rPr>
                <w:rFonts w:ascii="Times New Roman" w:eastAsia="宋体" w:hAnsi="Times New Roman" w:cs="Times New Roman"/>
                <w:color w:val="333333"/>
                <w:kern w:val="0"/>
                <w:sz w:val="24"/>
                <w14:ligatures w14:val="none"/>
              </w:rPr>
              <w:t>https://cran.r project.org/package=survival</w:t>
            </w:r>
          </w:p>
        </w:tc>
      </w:tr>
      <w:tr w:rsidR="00817F17" w14:paraId="3203B92D" w14:textId="77777777" w:rsidTr="00AF61A9">
        <w:tc>
          <w:tcPr>
            <w:tcW w:w="1509" w:type="pct"/>
            <w:shd w:val="clear" w:color="auto" w:fill="F5F5F5"/>
            <w:tcMar>
              <w:top w:w="75" w:type="dxa"/>
              <w:left w:w="120" w:type="dxa"/>
              <w:bottom w:w="75" w:type="dxa"/>
              <w:right w:w="120" w:type="dxa"/>
            </w:tcMar>
          </w:tcPr>
          <w:p w14:paraId="005EC329" w14:textId="6EE1A976"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7F4FBB">
              <w:rPr>
                <w:rFonts w:ascii="Times New Roman" w:eastAsia="宋体" w:hAnsi="Times New Roman" w:cs="Times New Roman" w:hint="eastAsia"/>
                <w:color w:val="333333"/>
                <w:kern w:val="0"/>
                <w:sz w:val="24"/>
                <w14:ligatures w14:val="none"/>
              </w:rPr>
              <w:t>survminer</w:t>
            </w:r>
            <w:proofErr w:type="spellEnd"/>
            <w:r w:rsidRPr="007F4FBB">
              <w:rPr>
                <w:rFonts w:ascii="Times New Roman" w:eastAsia="宋体" w:hAnsi="Times New Roman" w:cs="Times New Roman" w:hint="eastAsia"/>
                <w:color w:val="333333"/>
                <w:kern w:val="0"/>
                <w:sz w:val="24"/>
                <w14:ligatures w14:val="none"/>
              </w:rPr>
              <w:t xml:space="preserve"> v0.4.9</w:t>
            </w:r>
          </w:p>
        </w:tc>
        <w:tc>
          <w:tcPr>
            <w:tcW w:w="965" w:type="pct"/>
            <w:shd w:val="clear" w:color="auto" w:fill="F5F5F5"/>
            <w:tcMar>
              <w:top w:w="75" w:type="dxa"/>
              <w:left w:w="120" w:type="dxa"/>
              <w:bottom w:w="75" w:type="dxa"/>
              <w:right w:w="120" w:type="dxa"/>
            </w:tcMar>
          </w:tcPr>
          <w:p w14:paraId="4E71AA59" w14:textId="0A01E91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7F4FBB">
              <w:rPr>
                <w:rFonts w:ascii="Times New Roman" w:eastAsia="宋体" w:hAnsi="Times New Roman" w:cs="Times New Roman" w:hint="eastAsia"/>
                <w:color w:val="333333"/>
                <w:kern w:val="0"/>
                <w:sz w:val="24"/>
                <w14:ligatures w14:val="none"/>
              </w:rPr>
              <w:t>CRAN</w:t>
            </w:r>
          </w:p>
        </w:tc>
        <w:tc>
          <w:tcPr>
            <w:tcW w:w="2526" w:type="pct"/>
            <w:shd w:val="clear" w:color="auto" w:fill="F5F5F5"/>
            <w:tcMar>
              <w:top w:w="75" w:type="dxa"/>
              <w:left w:w="120" w:type="dxa"/>
              <w:bottom w:w="75" w:type="dxa"/>
              <w:right w:w="120" w:type="dxa"/>
            </w:tcMar>
          </w:tcPr>
          <w:p w14:paraId="79A109D9" w14:textId="1AA8FDF4"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7F4FBB">
              <w:rPr>
                <w:rFonts w:ascii="Times New Roman" w:eastAsia="宋体" w:hAnsi="Times New Roman" w:cs="Times New Roman" w:hint="eastAsia"/>
                <w:color w:val="333333"/>
                <w:kern w:val="0"/>
                <w:sz w:val="24"/>
                <w14:ligatures w14:val="none"/>
              </w:rPr>
              <w:t>https://cran.r project.org/package=</w:t>
            </w:r>
            <w:proofErr w:type="spellStart"/>
            <w:r w:rsidRPr="007F4FBB">
              <w:rPr>
                <w:rFonts w:ascii="Times New Roman" w:eastAsia="宋体" w:hAnsi="Times New Roman" w:cs="Times New Roman" w:hint="eastAsia"/>
                <w:color w:val="333333"/>
                <w:kern w:val="0"/>
                <w:sz w:val="24"/>
                <w14:ligatures w14:val="none"/>
              </w:rPr>
              <w:t>survminer</w:t>
            </w:r>
            <w:proofErr w:type="spellEnd"/>
          </w:p>
        </w:tc>
      </w:tr>
      <w:tr w:rsidR="00817F17" w14:paraId="4C91356D" w14:textId="77777777" w:rsidTr="00AF61A9">
        <w:tc>
          <w:tcPr>
            <w:tcW w:w="1509" w:type="pct"/>
            <w:shd w:val="clear" w:color="auto" w:fill="FFFFFF"/>
            <w:tcMar>
              <w:top w:w="75" w:type="dxa"/>
              <w:left w:w="120" w:type="dxa"/>
              <w:bottom w:w="75" w:type="dxa"/>
              <w:right w:w="120" w:type="dxa"/>
            </w:tcMar>
          </w:tcPr>
          <w:p w14:paraId="53E3CA30" w14:textId="54ABD0B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793086">
              <w:rPr>
                <w:rFonts w:ascii="Times New Roman" w:eastAsia="宋体" w:hAnsi="Times New Roman" w:cs="Times New Roman" w:hint="eastAsia"/>
                <w:color w:val="333333"/>
                <w:kern w:val="0"/>
                <w:sz w:val="24"/>
                <w14:ligatures w14:val="none"/>
              </w:rPr>
              <w:t>timeROC</w:t>
            </w:r>
            <w:proofErr w:type="spellEnd"/>
          </w:p>
        </w:tc>
        <w:tc>
          <w:tcPr>
            <w:tcW w:w="965" w:type="pct"/>
            <w:shd w:val="clear" w:color="auto" w:fill="FFFFFF"/>
            <w:tcMar>
              <w:top w:w="75" w:type="dxa"/>
              <w:left w:w="120" w:type="dxa"/>
              <w:bottom w:w="75" w:type="dxa"/>
              <w:right w:w="120" w:type="dxa"/>
            </w:tcMar>
          </w:tcPr>
          <w:p w14:paraId="64D08148" w14:textId="5769D8E2"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793086">
              <w:rPr>
                <w:rFonts w:ascii="Times New Roman" w:eastAsia="宋体" w:hAnsi="Times New Roman" w:cs="Times New Roman" w:hint="eastAsia"/>
                <w:color w:val="333333"/>
                <w:kern w:val="0"/>
                <w:sz w:val="24"/>
                <w14:ligatures w14:val="none"/>
              </w:rPr>
              <w:t>CRAN</w:t>
            </w:r>
          </w:p>
        </w:tc>
        <w:tc>
          <w:tcPr>
            <w:tcW w:w="2526" w:type="pct"/>
            <w:shd w:val="clear" w:color="auto" w:fill="FFFFFF"/>
            <w:tcMar>
              <w:top w:w="75" w:type="dxa"/>
              <w:left w:w="120" w:type="dxa"/>
              <w:bottom w:w="75" w:type="dxa"/>
              <w:right w:w="120" w:type="dxa"/>
            </w:tcMar>
          </w:tcPr>
          <w:p w14:paraId="2DFC8BF0" w14:textId="0227A7EA"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793086">
              <w:rPr>
                <w:rFonts w:ascii="Times New Roman" w:eastAsia="宋体" w:hAnsi="Times New Roman" w:cs="Times New Roman" w:hint="eastAsia"/>
                <w:color w:val="333333"/>
                <w:kern w:val="0"/>
                <w:sz w:val="24"/>
                <w14:ligatures w14:val="none"/>
              </w:rPr>
              <w:t>https://cran.r project.org/package=</w:t>
            </w:r>
            <w:proofErr w:type="spellStart"/>
            <w:r w:rsidRPr="00793086">
              <w:rPr>
                <w:rFonts w:ascii="Times New Roman" w:eastAsia="宋体" w:hAnsi="Times New Roman" w:cs="Times New Roman" w:hint="eastAsia"/>
                <w:color w:val="333333"/>
                <w:kern w:val="0"/>
                <w:sz w:val="24"/>
                <w14:ligatures w14:val="none"/>
              </w:rPr>
              <w:t>timeROC</w:t>
            </w:r>
            <w:proofErr w:type="spellEnd"/>
          </w:p>
        </w:tc>
      </w:tr>
      <w:tr w:rsidR="00817F17" w14:paraId="15848D2A" w14:textId="77777777" w:rsidTr="00AF61A9">
        <w:tc>
          <w:tcPr>
            <w:tcW w:w="1509" w:type="pct"/>
            <w:shd w:val="clear" w:color="auto" w:fill="F5F5F5"/>
            <w:tcMar>
              <w:top w:w="75" w:type="dxa"/>
              <w:left w:w="120" w:type="dxa"/>
              <w:bottom w:w="75" w:type="dxa"/>
              <w:right w:w="120" w:type="dxa"/>
            </w:tcMar>
          </w:tcPr>
          <w:p w14:paraId="79BB7C1F" w14:textId="0E2AC231"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EF2669">
              <w:rPr>
                <w:rFonts w:ascii="Times New Roman" w:eastAsia="宋体" w:hAnsi="Times New Roman" w:cs="Times New Roman" w:hint="eastAsia"/>
                <w:color w:val="333333"/>
                <w:kern w:val="0"/>
                <w:sz w:val="24"/>
                <w14:ligatures w14:val="none"/>
              </w:rPr>
              <w:lastRenderedPageBreak/>
              <w:t>DoRothEA</w:t>
            </w:r>
            <w:proofErr w:type="spellEnd"/>
          </w:p>
        </w:tc>
        <w:tc>
          <w:tcPr>
            <w:tcW w:w="965" w:type="pct"/>
            <w:shd w:val="clear" w:color="auto" w:fill="F5F5F5"/>
            <w:tcMar>
              <w:top w:w="75" w:type="dxa"/>
              <w:left w:w="120" w:type="dxa"/>
              <w:bottom w:w="75" w:type="dxa"/>
              <w:right w:w="120" w:type="dxa"/>
            </w:tcMar>
          </w:tcPr>
          <w:p w14:paraId="2895B630" w14:textId="4EA968D7"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EF2669">
              <w:rPr>
                <w:rFonts w:ascii="Times New Roman" w:eastAsia="宋体" w:hAnsi="Times New Roman" w:cs="Times New Roman" w:hint="eastAsia"/>
                <w:color w:val="333333"/>
                <w:kern w:val="0"/>
                <w:sz w:val="24"/>
                <w14:ligatures w14:val="none"/>
              </w:rPr>
              <w:t>Bioconductor</w:t>
            </w:r>
          </w:p>
        </w:tc>
        <w:tc>
          <w:tcPr>
            <w:tcW w:w="2526" w:type="pct"/>
            <w:shd w:val="clear" w:color="auto" w:fill="F5F5F5"/>
            <w:tcMar>
              <w:top w:w="75" w:type="dxa"/>
              <w:left w:w="120" w:type="dxa"/>
              <w:bottom w:w="75" w:type="dxa"/>
              <w:right w:w="120" w:type="dxa"/>
            </w:tcMar>
          </w:tcPr>
          <w:p w14:paraId="127B0BE8" w14:textId="7D51B2F4"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EF2669">
              <w:rPr>
                <w:rFonts w:ascii="Times New Roman" w:eastAsia="宋体" w:hAnsi="Times New Roman" w:cs="Times New Roman" w:hint="eastAsia"/>
                <w:color w:val="333333"/>
                <w:kern w:val="0"/>
                <w:sz w:val="24"/>
                <w14:ligatures w14:val="none"/>
              </w:rPr>
              <w:t>https://bioconductor.org/packages/DoRothEA/</w:t>
            </w:r>
          </w:p>
        </w:tc>
      </w:tr>
      <w:tr w:rsidR="00817F17" w14:paraId="245CDC6A" w14:textId="77777777" w:rsidTr="00AF61A9">
        <w:tc>
          <w:tcPr>
            <w:tcW w:w="1509" w:type="pct"/>
            <w:shd w:val="clear" w:color="auto" w:fill="FFFFFF"/>
            <w:tcMar>
              <w:top w:w="75" w:type="dxa"/>
              <w:left w:w="120" w:type="dxa"/>
              <w:bottom w:w="75" w:type="dxa"/>
              <w:right w:w="120" w:type="dxa"/>
            </w:tcMar>
          </w:tcPr>
          <w:p w14:paraId="19283B7C" w14:textId="705913B0"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4CC7">
              <w:rPr>
                <w:rFonts w:ascii="Times New Roman" w:eastAsia="宋体" w:hAnsi="Times New Roman" w:cs="Times New Roman" w:hint="eastAsia"/>
                <w:color w:val="333333"/>
                <w:kern w:val="0"/>
                <w:sz w:val="24"/>
                <w14:ligatures w14:val="none"/>
              </w:rPr>
              <w:t>ggplot2 v3.5.0</w:t>
            </w:r>
          </w:p>
        </w:tc>
        <w:tc>
          <w:tcPr>
            <w:tcW w:w="965" w:type="pct"/>
            <w:shd w:val="clear" w:color="auto" w:fill="FFFFFF"/>
            <w:tcMar>
              <w:top w:w="75" w:type="dxa"/>
              <w:left w:w="120" w:type="dxa"/>
              <w:bottom w:w="75" w:type="dxa"/>
              <w:right w:w="120" w:type="dxa"/>
            </w:tcMar>
          </w:tcPr>
          <w:p w14:paraId="377EB281" w14:textId="6AF03B76"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4CC7">
              <w:rPr>
                <w:rFonts w:ascii="Times New Roman" w:eastAsia="宋体" w:hAnsi="Times New Roman" w:cs="Times New Roman" w:hint="eastAsia"/>
                <w:color w:val="333333"/>
                <w:kern w:val="0"/>
                <w:sz w:val="24"/>
                <w14:ligatures w14:val="none"/>
              </w:rPr>
              <w:t>CRAN</w:t>
            </w:r>
          </w:p>
        </w:tc>
        <w:tc>
          <w:tcPr>
            <w:tcW w:w="2526" w:type="pct"/>
            <w:shd w:val="clear" w:color="auto" w:fill="FFFFFF"/>
            <w:tcMar>
              <w:top w:w="75" w:type="dxa"/>
              <w:left w:w="120" w:type="dxa"/>
              <w:bottom w:w="75" w:type="dxa"/>
              <w:right w:w="120" w:type="dxa"/>
            </w:tcMar>
          </w:tcPr>
          <w:p w14:paraId="1292CA05" w14:textId="73E42215"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4CC7">
              <w:rPr>
                <w:rFonts w:ascii="Times New Roman" w:eastAsia="宋体" w:hAnsi="Times New Roman" w:cs="Times New Roman" w:hint="eastAsia"/>
                <w:color w:val="333333"/>
                <w:kern w:val="0"/>
                <w:sz w:val="24"/>
                <w14:ligatures w14:val="none"/>
              </w:rPr>
              <w:t>https://cran.r project.org/package=ggplot2</w:t>
            </w:r>
          </w:p>
        </w:tc>
      </w:tr>
      <w:tr w:rsidR="00817F17" w14:paraId="767F8A0E" w14:textId="77777777" w:rsidTr="00AF61A9">
        <w:tc>
          <w:tcPr>
            <w:tcW w:w="1509" w:type="pct"/>
            <w:shd w:val="clear" w:color="auto" w:fill="F5F5F5"/>
            <w:tcMar>
              <w:top w:w="75" w:type="dxa"/>
              <w:left w:w="120" w:type="dxa"/>
              <w:bottom w:w="75" w:type="dxa"/>
              <w:right w:w="120" w:type="dxa"/>
            </w:tcMar>
          </w:tcPr>
          <w:p w14:paraId="198083A2" w14:textId="2A212AFF"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6118CF">
              <w:rPr>
                <w:rFonts w:ascii="Times New Roman" w:eastAsia="宋体" w:hAnsi="Times New Roman" w:cs="Times New Roman" w:hint="eastAsia"/>
                <w:color w:val="333333"/>
                <w:kern w:val="0"/>
                <w:sz w:val="24"/>
                <w14:ligatures w14:val="none"/>
              </w:rPr>
              <w:t>ggtree</w:t>
            </w:r>
            <w:proofErr w:type="spellEnd"/>
            <w:r w:rsidRPr="006118CF">
              <w:rPr>
                <w:rFonts w:ascii="Times New Roman" w:eastAsia="宋体" w:hAnsi="Times New Roman" w:cs="Times New Roman" w:hint="eastAsia"/>
                <w:color w:val="333333"/>
                <w:kern w:val="0"/>
                <w:sz w:val="24"/>
                <w14:ligatures w14:val="none"/>
              </w:rPr>
              <w:t xml:space="preserve"> v4.2.0</w:t>
            </w:r>
          </w:p>
        </w:tc>
        <w:tc>
          <w:tcPr>
            <w:tcW w:w="965" w:type="pct"/>
            <w:shd w:val="clear" w:color="auto" w:fill="F5F5F5"/>
            <w:tcMar>
              <w:top w:w="75" w:type="dxa"/>
              <w:left w:w="120" w:type="dxa"/>
              <w:bottom w:w="75" w:type="dxa"/>
              <w:right w:w="120" w:type="dxa"/>
            </w:tcMar>
          </w:tcPr>
          <w:p w14:paraId="7246AF5F" w14:textId="062AD133"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6118CF">
              <w:rPr>
                <w:rFonts w:ascii="Times New Roman" w:eastAsia="宋体" w:hAnsi="Times New Roman" w:cs="Times New Roman" w:hint="eastAsia"/>
                <w:color w:val="333333"/>
                <w:kern w:val="0"/>
                <w:sz w:val="24"/>
                <w14:ligatures w14:val="none"/>
              </w:rPr>
              <w:t>Bioconductor</w:t>
            </w:r>
          </w:p>
        </w:tc>
        <w:tc>
          <w:tcPr>
            <w:tcW w:w="2526" w:type="pct"/>
            <w:shd w:val="clear" w:color="auto" w:fill="F5F5F5"/>
            <w:tcMar>
              <w:top w:w="75" w:type="dxa"/>
              <w:left w:w="120" w:type="dxa"/>
              <w:bottom w:w="75" w:type="dxa"/>
              <w:right w:w="120" w:type="dxa"/>
            </w:tcMar>
          </w:tcPr>
          <w:p w14:paraId="1CC2C155" w14:textId="077D2698"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6118CF">
              <w:rPr>
                <w:rFonts w:ascii="Times New Roman" w:eastAsia="宋体" w:hAnsi="Times New Roman" w:cs="Times New Roman" w:hint="eastAsia"/>
                <w:color w:val="333333"/>
                <w:kern w:val="0"/>
                <w:sz w:val="24"/>
                <w14:ligatures w14:val="none"/>
              </w:rPr>
              <w:t>https://bioconductor.org/packages/ggtree</w:t>
            </w:r>
          </w:p>
        </w:tc>
      </w:tr>
      <w:tr w:rsidR="00817F17" w14:paraId="4A1E2289" w14:textId="77777777" w:rsidTr="00AF61A9">
        <w:tc>
          <w:tcPr>
            <w:tcW w:w="1509" w:type="pct"/>
            <w:shd w:val="clear" w:color="auto" w:fill="FFFFFF"/>
            <w:tcMar>
              <w:top w:w="75" w:type="dxa"/>
              <w:left w:w="120" w:type="dxa"/>
              <w:bottom w:w="75" w:type="dxa"/>
              <w:right w:w="120" w:type="dxa"/>
            </w:tcMar>
          </w:tcPr>
          <w:p w14:paraId="15E0336C" w14:textId="27600EED"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524A01">
              <w:rPr>
                <w:rFonts w:ascii="Times New Roman" w:eastAsia="宋体" w:hAnsi="Times New Roman" w:cs="Times New Roman" w:hint="eastAsia"/>
                <w:color w:val="333333"/>
                <w:kern w:val="0"/>
                <w:sz w:val="24"/>
                <w14:ligatures w14:val="none"/>
              </w:rPr>
              <w:t>ggtreeExtra</w:t>
            </w:r>
            <w:proofErr w:type="spellEnd"/>
            <w:r w:rsidRPr="00524A01">
              <w:rPr>
                <w:rFonts w:ascii="Times New Roman" w:eastAsia="宋体" w:hAnsi="Times New Roman" w:cs="Times New Roman" w:hint="eastAsia"/>
                <w:color w:val="333333"/>
                <w:kern w:val="0"/>
                <w:sz w:val="24"/>
                <w14:ligatures w14:val="none"/>
              </w:rPr>
              <w:t xml:space="preserve"> v1.22.1</w:t>
            </w:r>
          </w:p>
        </w:tc>
        <w:tc>
          <w:tcPr>
            <w:tcW w:w="965" w:type="pct"/>
            <w:shd w:val="clear" w:color="auto" w:fill="FFFFFF"/>
            <w:tcMar>
              <w:top w:w="75" w:type="dxa"/>
              <w:left w:w="120" w:type="dxa"/>
              <w:bottom w:w="75" w:type="dxa"/>
              <w:right w:w="120" w:type="dxa"/>
            </w:tcMar>
          </w:tcPr>
          <w:p w14:paraId="55218548" w14:textId="237F9850"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524A01">
              <w:rPr>
                <w:rFonts w:ascii="Times New Roman" w:eastAsia="宋体" w:hAnsi="Times New Roman" w:cs="Times New Roman" w:hint="eastAsia"/>
                <w:color w:val="333333"/>
                <w:kern w:val="0"/>
                <w:sz w:val="24"/>
                <w14:ligatures w14:val="none"/>
              </w:rPr>
              <w:t>Bioconductor</w:t>
            </w:r>
          </w:p>
        </w:tc>
        <w:tc>
          <w:tcPr>
            <w:tcW w:w="2526" w:type="pct"/>
            <w:shd w:val="clear" w:color="auto" w:fill="FFFFFF"/>
            <w:tcMar>
              <w:top w:w="75" w:type="dxa"/>
              <w:left w:w="120" w:type="dxa"/>
              <w:bottom w:w="75" w:type="dxa"/>
              <w:right w:w="120" w:type="dxa"/>
            </w:tcMar>
          </w:tcPr>
          <w:p w14:paraId="02030D34" w14:textId="015ADDE8"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524A01">
              <w:rPr>
                <w:rFonts w:ascii="Times New Roman" w:eastAsia="宋体" w:hAnsi="Times New Roman" w:cs="Times New Roman" w:hint="eastAsia"/>
                <w:color w:val="333333"/>
                <w:kern w:val="0"/>
                <w:sz w:val="24"/>
                <w14:ligatures w14:val="none"/>
              </w:rPr>
              <w:t>https://bioconductor.org/packages/ggtreeExtra</w:t>
            </w:r>
          </w:p>
        </w:tc>
      </w:tr>
      <w:tr w:rsidR="00817F17" w14:paraId="41CD7BC2" w14:textId="77777777" w:rsidTr="00AF61A9">
        <w:tc>
          <w:tcPr>
            <w:tcW w:w="1509" w:type="pct"/>
            <w:shd w:val="clear" w:color="auto" w:fill="F5F5F5"/>
            <w:tcMar>
              <w:top w:w="75" w:type="dxa"/>
              <w:left w:w="120" w:type="dxa"/>
              <w:bottom w:w="75" w:type="dxa"/>
              <w:right w:w="120" w:type="dxa"/>
            </w:tcMar>
          </w:tcPr>
          <w:p w14:paraId="011FC6C8" w14:textId="2BE6850A"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proofErr w:type="spellStart"/>
            <w:r w:rsidRPr="00150F47">
              <w:rPr>
                <w:rFonts w:ascii="Times New Roman" w:eastAsia="宋体" w:hAnsi="Times New Roman" w:cs="Times New Roman"/>
                <w:color w:val="333333"/>
                <w:kern w:val="0"/>
                <w:sz w:val="24"/>
                <w14:ligatures w14:val="none"/>
              </w:rPr>
              <w:t>MSigDB</w:t>
            </w:r>
            <w:proofErr w:type="spellEnd"/>
            <w:r w:rsidRPr="00150F47">
              <w:rPr>
                <w:rFonts w:ascii="Times New Roman" w:eastAsia="宋体" w:hAnsi="Times New Roman" w:cs="Times New Roman"/>
                <w:color w:val="333333"/>
                <w:kern w:val="0"/>
                <w:sz w:val="24"/>
                <w14:ligatures w14:val="none"/>
              </w:rPr>
              <w:t xml:space="preserve"> Hallmark gene sets v7.4</w:t>
            </w:r>
          </w:p>
        </w:tc>
        <w:tc>
          <w:tcPr>
            <w:tcW w:w="965" w:type="pct"/>
            <w:shd w:val="clear" w:color="auto" w:fill="F5F5F5"/>
            <w:tcMar>
              <w:top w:w="75" w:type="dxa"/>
              <w:left w:w="120" w:type="dxa"/>
              <w:bottom w:w="75" w:type="dxa"/>
              <w:right w:w="120" w:type="dxa"/>
            </w:tcMar>
          </w:tcPr>
          <w:p w14:paraId="3B198514" w14:textId="6985CB35"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50F47">
              <w:rPr>
                <w:rFonts w:ascii="Times New Roman" w:eastAsia="宋体" w:hAnsi="Times New Roman" w:cs="Times New Roman"/>
                <w:color w:val="333333"/>
                <w:kern w:val="0"/>
                <w:sz w:val="24"/>
                <w14:ligatures w14:val="none"/>
              </w:rPr>
              <w:t>Molecular Signatures Database</w:t>
            </w:r>
          </w:p>
        </w:tc>
        <w:tc>
          <w:tcPr>
            <w:tcW w:w="2526" w:type="pct"/>
            <w:shd w:val="clear" w:color="auto" w:fill="F5F5F5"/>
            <w:tcMar>
              <w:top w:w="75" w:type="dxa"/>
              <w:left w:w="120" w:type="dxa"/>
              <w:bottom w:w="75" w:type="dxa"/>
              <w:right w:w="120" w:type="dxa"/>
            </w:tcMar>
          </w:tcPr>
          <w:p w14:paraId="5D13205D" w14:textId="2847F83B"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150F47">
              <w:rPr>
                <w:rFonts w:ascii="Times New Roman" w:eastAsia="宋体" w:hAnsi="Times New Roman" w:cs="Times New Roman"/>
                <w:color w:val="333333"/>
                <w:kern w:val="0"/>
                <w:sz w:val="24"/>
                <w14:ligatures w14:val="none"/>
              </w:rPr>
              <w:t>https://www.gsea-msigdb.org/gsea/msigdb/</w:t>
            </w:r>
          </w:p>
        </w:tc>
      </w:tr>
      <w:tr w:rsidR="00817F17" w14:paraId="4692989F" w14:textId="77777777" w:rsidTr="00AF61A9">
        <w:tc>
          <w:tcPr>
            <w:tcW w:w="1509" w:type="pct"/>
            <w:shd w:val="clear" w:color="auto" w:fill="FFFFFF" w:themeFill="background1"/>
            <w:tcMar>
              <w:top w:w="75" w:type="dxa"/>
              <w:left w:w="120" w:type="dxa"/>
              <w:bottom w:w="75" w:type="dxa"/>
              <w:right w:w="120" w:type="dxa"/>
            </w:tcMar>
          </w:tcPr>
          <w:p w14:paraId="03119181" w14:textId="51F2B52E"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3A3A">
              <w:rPr>
                <w:rFonts w:ascii="Times New Roman" w:eastAsia="宋体" w:hAnsi="Times New Roman" w:cs="Times New Roman"/>
                <w:color w:val="333333"/>
                <w:kern w:val="0"/>
                <w:sz w:val="24"/>
                <w14:ligatures w14:val="none"/>
              </w:rPr>
              <w:t>Custom analysis code</w:t>
            </w:r>
            <w:r w:rsidRPr="00B13A3A">
              <w:rPr>
                <w:rFonts w:ascii="Times New Roman" w:eastAsia="宋体" w:hAnsi="Times New Roman" w:cs="Times New Roman"/>
                <w:color w:val="333333"/>
                <w:kern w:val="0"/>
                <w:sz w:val="24"/>
                <w14:ligatures w14:val="none"/>
              </w:rPr>
              <w:tab/>
            </w:r>
          </w:p>
        </w:tc>
        <w:tc>
          <w:tcPr>
            <w:tcW w:w="965" w:type="pct"/>
            <w:shd w:val="clear" w:color="auto" w:fill="FFFFFF" w:themeFill="background1"/>
            <w:tcMar>
              <w:top w:w="75" w:type="dxa"/>
              <w:left w:w="120" w:type="dxa"/>
              <w:bottom w:w="75" w:type="dxa"/>
              <w:right w:w="120" w:type="dxa"/>
            </w:tcMar>
          </w:tcPr>
          <w:p w14:paraId="5407B50A" w14:textId="32777572"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3A3A">
              <w:rPr>
                <w:rFonts w:ascii="Times New Roman" w:eastAsia="宋体" w:hAnsi="Times New Roman" w:cs="Times New Roman"/>
                <w:color w:val="333333"/>
                <w:kern w:val="0"/>
                <w:sz w:val="24"/>
                <w14:ligatures w14:val="none"/>
              </w:rPr>
              <w:t>This study</w:t>
            </w:r>
          </w:p>
        </w:tc>
        <w:tc>
          <w:tcPr>
            <w:tcW w:w="2526" w:type="pct"/>
            <w:shd w:val="clear" w:color="auto" w:fill="FFFFFF" w:themeFill="background1"/>
            <w:tcMar>
              <w:top w:w="75" w:type="dxa"/>
              <w:left w:w="120" w:type="dxa"/>
              <w:bottom w:w="75" w:type="dxa"/>
              <w:right w:w="120" w:type="dxa"/>
            </w:tcMar>
          </w:tcPr>
          <w:p w14:paraId="46B91CCC" w14:textId="68E2DD0A"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B13A3A">
              <w:rPr>
                <w:rFonts w:ascii="Times New Roman" w:eastAsia="宋体" w:hAnsi="Times New Roman" w:cs="Times New Roman"/>
                <w:color w:val="333333"/>
                <w:kern w:val="0"/>
                <w:sz w:val="24"/>
                <w14:ligatures w14:val="none"/>
              </w:rPr>
              <w:t>https://github.com/wqxrmyy/LipidScore_DDLPS</w:t>
            </w:r>
          </w:p>
        </w:tc>
      </w:tr>
      <w:tr w:rsidR="00817F17" w14:paraId="76E2FAAE" w14:textId="77777777" w:rsidTr="00AF5BA1">
        <w:tc>
          <w:tcPr>
            <w:tcW w:w="5000" w:type="pct"/>
            <w:gridSpan w:val="3"/>
            <w:shd w:val="clear" w:color="auto" w:fill="F2E9E9"/>
            <w:tcMar>
              <w:top w:w="90" w:type="dxa"/>
              <w:left w:w="120" w:type="dxa"/>
              <w:bottom w:w="90" w:type="dxa"/>
              <w:right w:w="120" w:type="dxa"/>
            </w:tcMar>
          </w:tcPr>
          <w:p w14:paraId="00F5F5CA" w14:textId="21B44FD6" w:rsidR="00817F17" w:rsidRDefault="00817F17" w:rsidP="00817F17">
            <w:pPr>
              <w:keepLines/>
              <w:widowControl/>
              <w:suppressAutoHyphens/>
              <w:kinsoku w:val="0"/>
              <w:spacing w:after="150" w:line="240" w:lineRule="auto"/>
              <w:jc w:val="both"/>
              <w:rPr>
                <w:rFonts w:ascii="Times New Roman" w:eastAsia="宋体" w:hAnsi="Times New Roman" w:cs="Times New Roman"/>
                <w:b/>
                <w:bCs/>
                <w:color w:val="993333"/>
                <w:kern w:val="0"/>
                <w:sz w:val="24"/>
                <w14:ligatures w14:val="none"/>
              </w:rPr>
            </w:pPr>
            <w:r w:rsidRPr="00A8616A">
              <w:rPr>
                <w:rFonts w:ascii="Times New Roman" w:eastAsia="宋体" w:hAnsi="Times New Roman" w:cs="Times New Roman"/>
                <w:b/>
                <w:bCs/>
                <w:color w:val="993333"/>
                <w:kern w:val="0"/>
                <w:sz w:val="24"/>
                <w14:ligatures w14:val="none"/>
              </w:rPr>
              <w:t>Other</w:t>
            </w:r>
          </w:p>
        </w:tc>
      </w:tr>
      <w:tr w:rsidR="00817F17" w14:paraId="34ACBF05" w14:textId="77777777" w:rsidTr="00AF5BA1">
        <w:tc>
          <w:tcPr>
            <w:tcW w:w="5000" w:type="pct"/>
            <w:gridSpan w:val="3"/>
            <w:shd w:val="clear" w:color="auto" w:fill="F5F5F5"/>
            <w:tcMar>
              <w:top w:w="75" w:type="dxa"/>
              <w:left w:w="120" w:type="dxa"/>
              <w:bottom w:w="75" w:type="dxa"/>
              <w:right w:w="120" w:type="dxa"/>
            </w:tcMar>
          </w:tcPr>
          <w:p w14:paraId="7CB7DD2B" w14:textId="273AFBE0"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Pr>
                <w:rFonts w:ascii="Times New Roman" w:eastAsia="宋体" w:hAnsi="Times New Roman" w:cs="Times New Roman"/>
                <w:color w:val="333333"/>
                <w:kern w:val="0"/>
                <w:sz w:val="24"/>
                <w14:ligatures w14:val="none"/>
              </w:rPr>
              <w:t>TCGA-SARC</w:t>
            </w:r>
          </w:p>
        </w:tc>
      </w:tr>
      <w:tr w:rsidR="00817F17" w14:paraId="59380D4A" w14:textId="77777777" w:rsidTr="00AF5BA1">
        <w:tc>
          <w:tcPr>
            <w:tcW w:w="5000" w:type="pct"/>
            <w:gridSpan w:val="3"/>
            <w:shd w:val="clear" w:color="auto" w:fill="FFFFFF"/>
            <w:tcMar>
              <w:top w:w="75" w:type="dxa"/>
              <w:left w:w="120" w:type="dxa"/>
              <w:bottom w:w="75" w:type="dxa"/>
              <w:right w:w="120" w:type="dxa"/>
            </w:tcMar>
          </w:tcPr>
          <w:p w14:paraId="6228FB28" w14:textId="395E490F"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962AD7">
              <w:rPr>
                <w:rFonts w:ascii="Times New Roman" w:eastAsia="宋体" w:hAnsi="Times New Roman" w:cs="Times New Roman"/>
                <w:color w:val="333333"/>
                <w:kern w:val="0"/>
                <w:sz w:val="24"/>
                <w14:ligatures w14:val="none"/>
              </w:rPr>
              <w:t>Available from corresponding author upon reasonable request</w:t>
            </w:r>
          </w:p>
        </w:tc>
      </w:tr>
      <w:tr w:rsidR="00817F17" w14:paraId="22DF26D4" w14:textId="77777777" w:rsidTr="00AF5BA1">
        <w:tc>
          <w:tcPr>
            <w:tcW w:w="5000" w:type="pct"/>
            <w:gridSpan w:val="3"/>
            <w:shd w:val="clear" w:color="auto" w:fill="F5F5F5"/>
            <w:tcMar>
              <w:top w:w="75" w:type="dxa"/>
              <w:left w:w="120" w:type="dxa"/>
              <w:bottom w:w="75" w:type="dxa"/>
              <w:right w:w="120" w:type="dxa"/>
            </w:tcMar>
          </w:tcPr>
          <w:p w14:paraId="5662AEF7" w14:textId="31264E1D" w:rsidR="00817F17" w:rsidRDefault="00817F17" w:rsidP="00817F17">
            <w:pPr>
              <w:keepLines/>
              <w:widowControl/>
              <w:suppressAutoHyphens/>
              <w:kinsoku w:val="0"/>
              <w:spacing w:after="150" w:line="240" w:lineRule="auto"/>
              <w:jc w:val="both"/>
              <w:rPr>
                <w:rFonts w:ascii="Times New Roman" w:eastAsia="宋体" w:hAnsi="Times New Roman" w:cs="Times New Roman"/>
                <w:color w:val="333333"/>
                <w:kern w:val="0"/>
                <w:sz w:val="24"/>
                <w14:ligatures w14:val="none"/>
              </w:rPr>
            </w:pPr>
            <w:r w:rsidRPr="00962AD7">
              <w:rPr>
                <w:rFonts w:ascii="Times New Roman" w:eastAsia="宋体" w:hAnsi="Times New Roman" w:cs="Times New Roman"/>
                <w:color w:val="333333"/>
                <w:kern w:val="0"/>
                <w:sz w:val="24"/>
                <w14:ligatures w14:val="none"/>
              </w:rPr>
              <w:t>The first principal component of six core genes was taken as calculated PCA</w:t>
            </w:r>
          </w:p>
        </w:tc>
      </w:tr>
    </w:tbl>
    <w:p w14:paraId="0BD9626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2DA124D2"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A0E5B7E"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33D8A407"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9195D50"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D1D8573"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095803D"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3265A0EB"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FDB1B7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3BA1BCC"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65C919F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6EF686D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02A03CC7"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8486134"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6BC5E999"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229F7E08"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BB2BEA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73495DB7"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609D2D24"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08D99B11"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D7918D7" w14:textId="77777777" w:rsidR="00AA0162" w:rsidRDefault="00AA0162"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55EEFBE1" w14:textId="77777777" w:rsidR="00AA0162" w:rsidRDefault="00AA0162"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34F7E896" w14:textId="77777777" w:rsidR="00AA0162" w:rsidRDefault="00AA0162"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3E71C755" w14:textId="77777777" w:rsidR="00AA0162" w:rsidRDefault="00AA0162"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1F1E9E9D" w14:textId="55B3B912"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r w:rsidRPr="002E470D">
        <w:rPr>
          <w:rFonts w:ascii="Times New Roman" w:eastAsia="宋体" w:hAnsi="Times New Roman" w:cs="Times New Roman"/>
          <w:b/>
          <w:bCs/>
          <w:kern w:val="0"/>
          <w:sz w:val="24"/>
          <w14:ligatures w14:val="none"/>
        </w:rPr>
        <w:t>Supplementary tables</w:t>
      </w:r>
    </w:p>
    <w:p w14:paraId="74B7B2CA" w14:textId="77777777" w:rsidR="004C2851" w:rsidRPr="002E470D" w:rsidRDefault="004C2851" w:rsidP="004C2851">
      <w:pPr>
        <w:keepLines/>
        <w:widowControl/>
        <w:suppressAutoHyphens/>
        <w:kinsoku w:val="0"/>
        <w:spacing w:after="0" w:line="240" w:lineRule="auto"/>
        <w:jc w:val="both"/>
        <w:rPr>
          <w:rFonts w:ascii="Times New Roman" w:eastAsia="宋体" w:hAnsi="Times New Roman" w:cs="Times New Roman"/>
          <w:b/>
          <w:bCs/>
          <w:kern w:val="0"/>
          <w:sz w:val="24"/>
          <w14:ligatures w14:val="none"/>
        </w:rPr>
      </w:pPr>
    </w:p>
    <w:p w14:paraId="4652F3B5" w14:textId="77777777" w:rsidR="004C2851" w:rsidRPr="00AA0162" w:rsidRDefault="004C2851" w:rsidP="004C2851">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AA0162">
        <w:rPr>
          <w:rFonts w:ascii="Times New Roman" w:eastAsia="宋体" w:hAnsi="Times New Roman" w:cs="Times New Roman"/>
          <w:kern w:val="0"/>
          <w:sz w:val="24"/>
          <w14:ligatures w14:val="none"/>
        </w:rPr>
        <w:t>Table S1. Number of genes that are differently expressed (high scoring vs low scoring).</w:t>
      </w:r>
    </w:p>
    <w:p w14:paraId="775C3833" w14:textId="77777777" w:rsidR="004C2851" w:rsidRPr="00AA0162" w:rsidRDefault="004C2851" w:rsidP="004C2851">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AA0162">
        <w:rPr>
          <w:rFonts w:ascii="Times New Roman" w:eastAsia="宋体" w:hAnsi="Times New Roman" w:cs="Times New Roman"/>
          <w:kern w:val="0"/>
          <w:sz w:val="24"/>
          <w14:ligatures w14:val="none"/>
        </w:rPr>
        <w:t xml:space="preserve">Table S2. Six essential genes </w:t>
      </w:r>
      <w:proofErr w:type="gramStart"/>
      <w:r w:rsidRPr="00AA0162">
        <w:rPr>
          <w:rFonts w:ascii="Times New Roman" w:eastAsia="宋体" w:hAnsi="Times New Roman" w:cs="Times New Roman"/>
          <w:kern w:val="0"/>
          <w:sz w:val="24"/>
          <w14:ligatures w14:val="none"/>
        </w:rPr>
        <w:t>involved</w:t>
      </w:r>
      <w:proofErr w:type="gramEnd"/>
      <w:r w:rsidRPr="00AA0162">
        <w:rPr>
          <w:rFonts w:ascii="Times New Roman" w:eastAsia="宋体" w:hAnsi="Times New Roman" w:cs="Times New Roman"/>
          <w:kern w:val="0"/>
          <w:sz w:val="24"/>
          <w14:ligatures w14:val="none"/>
        </w:rPr>
        <w:t xml:space="preserve"> in lipid metabolism.</w:t>
      </w:r>
    </w:p>
    <w:p w14:paraId="27E4E760" w14:textId="77777777" w:rsidR="004C2851" w:rsidRPr="00AA0162" w:rsidRDefault="004C2851" w:rsidP="004C2851">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AA0162">
        <w:rPr>
          <w:rFonts w:ascii="Times New Roman" w:eastAsia="宋体" w:hAnsi="Times New Roman" w:cs="Times New Roman"/>
          <w:kern w:val="0"/>
          <w:sz w:val="24"/>
          <w14:ligatures w14:val="none"/>
        </w:rPr>
        <w:t>Table S3. Hallmark pathways that are significantly enriched (FDR &lt; 0.05).</w:t>
      </w:r>
    </w:p>
    <w:p w14:paraId="46B76574" w14:textId="2942C028" w:rsidR="00CE3857" w:rsidRPr="002E470D" w:rsidRDefault="004C2851">
      <w:pPr>
        <w:keepLines/>
        <w:widowControl/>
        <w:suppressAutoHyphens/>
        <w:kinsoku w:val="0"/>
        <w:spacing w:after="0" w:line="240" w:lineRule="auto"/>
        <w:jc w:val="both"/>
        <w:rPr>
          <w:rFonts w:ascii="Times New Roman" w:eastAsia="宋体" w:hAnsi="Times New Roman" w:cs="Times New Roman"/>
          <w:kern w:val="0"/>
          <w:sz w:val="24"/>
          <w14:ligatures w14:val="none"/>
        </w:rPr>
      </w:pPr>
      <w:r w:rsidRPr="00AA0162">
        <w:rPr>
          <w:rFonts w:ascii="Times New Roman" w:eastAsia="宋体" w:hAnsi="Times New Roman" w:cs="Times New Roman"/>
          <w:kern w:val="0"/>
          <w:sz w:val="24"/>
          <w14:ligatures w14:val="none"/>
        </w:rPr>
        <w:t>Table S4. Marker genes of immune cell types.</w:t>
      </w:r>
      <w:bookmarkEnd w:id="50"/>
    </w:p>
    <w:sectPr w:rsidR="00CE3857" w:rsidRPr="002E470D" w:rsidSect="004C285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5449" w14:textId="77777777" w:rsidR="00F5350E" w:rsidRDefault="00F5350E">
      <w:pPr>
        <w:spacing w:line="240" w:lineRule="auto"/>
        <w:rPr>
          <w:rFonts w:hint="eastAsia"/>
        </w:rPr>
      </w:pPr>
      <w:r>
        <w:separator/>
      </w:r>
    </w:p>
  </w:endnote>
  <w:endnote w:type="continuationSeparator" w:id="0">
    <w:p w14:paraId="56E028F6" w14:textId="77777777" w:rsidR="00F5350E" w:rsidRDefault="00F5350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D67A" w14:textId="77777777" w:rsidR="00CE3857" w:rsidRDefault="00CE3857">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3990"/>
    </w:sdtPr>
    <w:sdtContent>
      <w:p w14:paraId="53EC79CC" w14:textId="77777777" w:rsidR="00CE3857" w:rsidRDefault="00000000">
        <w:pPr>
          <w:pStyle w:val="a3"/>
          <w:jc w:val="right"/>
          <w:rPr>
            <w:rFonts w:hint="eastAsia"/>
          </w:rPr>
        </w:pPr>
        <w:r>
          <w:fldChar w:fldCharType="begin"/>
        </w:r>
        <w:r>
          <w:instrText xml:space="preserve"> PAGE   \* MERGEFORMAT </w:instrText>
        </w:r>
        <w:r>
          <w:fldChar w:fldCharType="separate"/>
        </w:r>
        <w:r>
          <w:t>2</w:t>
        </w:r>
        <w:r>
          <w:fldChar w:fldCharType="end"/>
        </w:r>
      </w:p>
    </w:sdtContent>
  </w:sdt>
  <w:p w14:paraId="32097ACD" w14:textId="77777777" w:rsidR="00CE3857" w:rsidRDefault="00CE3857">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7864" w14:textId="77777777" w:rsidR="00CE3857" w:rsidRDefault="00CE3857">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66ABA" w14:textId="77777777" w:rsidR="00F5350E" w:rsidRDefault="00F5350E">
      <w:pPr>
        <w:spacing w:after="0"/>
        <w:rPr>
          <w:rFonts w:hint="eastAsia"/>
        </w:rPr>
      </w:pPr>
      <w:r>
        <w:separator/>
      </w:r>
    </w:p>
  </w:footnote>
  <w:footnote w:type="continuationSeparator" w:id="0">
    <w:p w14:paraId="5819E0C5" w14:textId="77777777" w:rsidR="00F5350E" w:rsidRDefault="00F5350E">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FD77" w14:textId="77777777" w:rsidR="00CE3857" w:rsidRDefault="00CE3857">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97D5" w14:textId="77777777" w:rsidR="00CE3857" w:rsidRDefault="00CE3857">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C6F2" w14:textId="77777777" w:rsidR="00CE3857" w:rsidRDefault="00CE3857">
    <w:pPr>
      <w:pStyle w:val="a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D76"/>
    <w:rsid w:val="0000734E"/>
    <w:rsid w:val="0001772B"/>
    <w:rsid w:val="00031770"/>
    <w:rsid w:val="0003400A"/>
    <w:rsid w:val="0003437D"/>
    <w:rsid w:val="000401FD"/>
    <w:rsid w:val="0004411D"/>
    <w:rsid w:val="000453C8"/>
    <w:rsid w:val="000536E7"/>
    <w:rsid w:val="00063155"/>
    <w:rsid w:val="0007164A"/>
    <w:rsid w:val="00072B7C"/>
    <w:rsid w:val="00073034"/>
    <w:rsid w:val="00082167"/>
    <w:rsid w:val="00084386"/>
    <w:rsid w:val="00093E69"/>
    <w:rsid w:val="000B0BCB"/>
    <w:rsid w:val="000B30BA"/>
    <w:rsid w:val="000B4F5A"/>
    <w:rsid w:val="000B6F86"/>
    <w:rsid w:val="000C0EF4"/>
    <w:rsid w:val="000D4226"/>
    <w:rsid w:val="000F7420"/>
    <w:rsid w:val="00124149"/>
    <w:rsid w:val="00125253"/>
    <w:rsid w:val="00144476"/>
    <w:rsid w:val="00150F47"/>
    <w:rsid w:val="001571C6"/>
    <w:rsid w:val="00167E67"/>
    <w:rsid w:val="00172651"/>
    <w:rsid w:val="00182358"/>
    <w:rsid w:val="001830BD"/>
    <w:rsid w:val="00183798"/>
    <w:rsid w:val="00183F2F"/>
    <w:rsid w:val="001844E8"/>
    <w:rsid w:val="0019261A"/>
    <w:rsid w:val="001A1961"/>
    <w:rsid w:val="001A2461"/>
    <w:rsid w:val="001A5909"/>
    <w:rsid w:val="001B043B"/>
    <w:rsid w:val="001B7369"/>
    <w:rsid w:val="001D1D98"/>
    <w:rsid w:val="001D5981"/>
    <w:rsid w:val="001E49A1"/>
    <w:rsid w:val="001E4A71"/>
    <w:rsid w:val="00205F26"/>
    <w:rsid w:val="0021393D"/>
    <w:rsid w:val="0021651E"/>
    <w:rsid w:val="0022206D"/>
    <w:rsid w:val="00226D34"/>
    <w:rsid w:val="00261D4B"/>
    <w:rsid w:val="002630CE"/>
    <w:rsid w:val="00264EAF"/>
    <w:rsid w:val="00272CBE"/>
    <w:rsid w:val="00275002"/>
    <w:rsid w:val="00276B3C"/>
    <w:rsid w:val="002A0148"/>
    <w:rsid w:val="002A1B2B"/>
    <w:rsid w:val="002A7396"/>
    <w:rsid w:val="002E470D"/>
    <w:rsid w:val="002F38BF"/>
    <w:rsid w:val="003034AB"/>
    <w:rsid w:val="0030730F"/>
    <w:rsid w:val="00307F35"/>
    <w:rsid w:val="003143C3"/>
    <w:rsid w:val="0031476D"/>
    <w:rsid w:val="00315F41"/>
    <w:rsid w:val="00325F31"/>
    <w:rsid w:val="00336025"/>
    <w:rsid w:val="00351DF8"/>
    <w:rsid w:val="00360EA0"/>
    <w:rsid w:val="00380349"/>
    <w:rsid w:val="00380CB8"/>
    <w:rsid w:val="00393373"/>
    <w:rsid w:val="003A1FF9"/>
    <w:rsid w:val="003B3526"/>
    <w:rsid w:val="003B52F5"/>
    <w:rsid w:val="003C6E88"/>
    <w:rsid w:val="003C7064"/>
    <w:rsid w:val="003D575E"/>
    <w:rsid w:val="003D5990"/>
    <w:rsid w:val="003E676E"/>
    <w:rsid w:val="003F7B07"/>
    <w:rsid w:val="00411DE4"/>
    <w:rsid w:val="00413518"/>
    <w:rsid w:val="00420B20"/>
    <w:rsid w:val="00420B3D"/>
    <w:rsid w:val="00435334"/>
    <w:rsid w:val="00436DCC"/>
    <w:rsid w:val="0044780C"/>
    <w:rsid w:val="00471512"/>
    <w:rsid w:val="00476933"/>
    <w:rsid w:val="00480972"/>
    <w:rsid w:val="00492881"/>
    <w:rsid w:val="004B0BB9"/>
    <w:rsid w:val="004C2851"/>
    <w:rsid w:val="004C2CB4"/>
    <w:rsid w:val="004D4349"/>
    <w:rsid w:val="004E2FB7"/>
    <w:rsid w:val="004E4709"/>
    <w:rsid w:val="004F4B91"/>
    <w:rsid w:val="004F694E"/>
    <w:rsid w:val="00502E16"/>
    <w:rsid w:val="00503C43"/>
    <w:rsid w:val="0050655F"/>
    <w:rsid w:val="005066DE"/>
    <w:rsid w:val="00507DD9"/>
    <w:rsid w:val="00511FF8"/>
    <w:rsid w:val="00513513"/>
    <w:rsid w:val="00517629"/>
    <w:rsid w:val="00523974"/>
    <w:rsid w:val="00524A01"/>
    <w:rsid w:val="00526B45"/>
    <w:rsid w:val="00534206"/>
    <w:rsid w:val="00543142"/>
    <w:rsid w:val="00561A23"/>
    <w:rsid w:val="00565267"/>
    <w:rsid w:val="00570D2A"/>
    <w:rsid w:val="005719FF"/>
    <w:rsid w:val="0057228C"/>
    <w:rsid w:val="005A134B"/>
    <w:rsid w:val="005B4A59"/>
    <w:rsid w:val="005C1904"/>
    <w:rsid w:val="005C20C7"/>
    <w:rsid w:val="005C3DD3"/>
    <w:rsid w:val="005F4CA0"/>
    <w:rsid w:val="0060158F"/>
    <w:rsid w:val="00606F0C"/>
    <w:rsid w:val="00610217"/>
    <w:rsid w:val="006118CF"/>
    <w:rsid w:val="006144C7"/>
    <w:rsid w:val="00615539"/>
    <w:rsid w:val="00617D75"/>
    <w:rsid w:val="0062175E"/>
    <w:rsid w:val="00623321"/>
    <w:rsid w:val="00624B1C"/>
    <w:rsid w:val="00625A6B"/>
    <w:rsid w:val="006310F6"/>
    <w:rsid w:val="00634CFE"/>
    <w:rsid w:val="0063579F"/>
    <w:rsid w:val="006428D9"/>
    <w:rsid w:val="00654678"/>
    <w:rsid w:val="00655354"/>
    <w:rsid w:val="00662270"/>
    <w:rsid w:val="00662506"/>
    <w:rsid w:val="00670224"/>
    <w:rsid w:val="006804FD"/>
    <w:rsid w:val="006A071E"/>
    <w:rsid w:val="006A4091"/>
    <w:rsid w:val="006A43EC"/>
    <w:rsid w:val="006E002A"/>
    <w:rsid w:val="006E4A37"/>
    <w:rsid w:val="006E676E"/>
    <w:rsid w:val="006F28AE"/>
    <w:rsid w:val="00700DFB"/>
    <w:rsid w:val="00726042"/>
    <w:rsid w:val="0072636D"/>
    <w:rsid w:val="00731501"/>
    <w:rsid w:val="00731F6D"/>
    <w:rsid w:val="0073281E"/>
    <w:rsid w:val="0073774F"/>
    <w:rsid w:val="00740BB0"/>
    <w:rsid w:val="007445F5"/>
    <w:rsid w:val="00750E8D"/>
    <w:rsid w:val="0076076C"/>
    <w:rsid w:val="0076230C"/>
    <w:rsid w:val="00763563"/>
    <w:rsid w:val="007731C0"/>
    <w:rsid w:val="007831EA"/>
    <w:rsid w:val="00793086"/>
    <w:rsid w:val="00796BA3"/>
    <w:rsid w:val="007A120F"/>
    <w:rsid w:val="007B3BEE"/>
    <w:rsid w:val="007C213B"/>
    <w:rsid w:val="007D0541"/>
    <w:rsid w:val="007D7BEE"/>
    <w:rsid w:val="007F4FBB"/>
    <w:rsid w:val="007F6272"/>
    <w:rsid w:val="0080424D"/>
    <w:rsid w:val="00816B9D"/>
    <w:rsid w:val="00817F17"/>
    <w:rsid w:val="00825C1E"/>
    <w:rsid w:val="008324BE"/>
    <w:rsid w:val="00834E5A"/>
    <w:rsid w:val="00841CCC"/>
    <w:rsid w:val="00842531"/>
    <w:rsid w:val="00843003"/>
    <w:rsid w:val="00847780"/>
    <w:rsid w:val="00854B62"/>
    <w:rsid w:val="0086441C"/>
    <w:rsid w:val="00871553"/>
    <w:rsid w:val="00873E54"/>
    <w:rsid w:val="008800B9"/>
    <w:rsid w:val="00886773"/>
    <w:rsid w:val="00890850"/>
    <w:rsid w:val="00893E2E"/>
    <w:rsid w:val="008A634F"/>
    <w:rsid w:val="008A7226"/>
    <w:rsid w:val="008B0F96"/>
    <w:rsid w:val="008B18FF"/>
    <w:rsid w:val="008C1F66"/>
    <w:rsid w:val="008E11A2"/>
    <w:rsid w:val="008E75E0"/>
    <w:rsid w:val="00903922"/>
    <w:rsid w:val="009076BA"/>
    <w:rsid w:val="00916CF8"/>
    <w:rsid w:val="009238AF"/>
    <w:rsid w:val="00935D33"/>
    <w:rsid w:val="00952385"/>
    <w:rsid w:val="0095351A"/>
    <w:rsid w:val="00960375"/>
    <w:rsid w:val="00962AD7"/>
    <w:rsid w:val="00972531"/>
    <w:rsid w:val="00983068"/>
    <w:rsid w:val="0099001D"/>
    <w:rsid w:val="00990DB2"/>
    <w:rsid w:val="009A04E5"/>
    <w:rsid w:val="009A682C"/>
    <w:rsid w:val="009D3FE0"/>
    <w:rsid w:val="009E52A7"/>
    <w:rsid w:val="009F0F06"/>
    <w:rsid w:val="009F471F"/>
    <w:rsid w:val="009F59FF"/>
    <w:rsid w:val="009F6650"/>
    <w:rsid w:val="00A04522"/>
    <w:rsid w:val="00A076F6"/>
    <w:rsid w:val="00A14505"/>
    <w:rsid w:val="00A20A1B"/>
    <w:rsid w:val="00A44850"/>
    <w:rsid w:val="00A4534D"/>
    <w:rsid w:val="00A5026A"/>
    <w:rsid w:val="00A502FA"/>
    <w:rsid w:val="00A71DB6"/>
    <w:rsid w:val="00A752DA"/>
    <w:rsid w:val="00A858DF"/>
    <w:rsid w:val="00A8616A"/>
    <w:rsid w:val="00AA0162"/>
    <w:rsid w:val="00AA1739"/>
    <w:rsid w:val="00AA5A22"/>
    <w:rsid w:val="00AA69DF"/>
    <w:rsid w:val="00AC3233"/>
    <w:rsid w:val="00AC403D"/>
    <w:rsid w:val="00AC5E10"/>
    <w:rsid w:val="00AC73B8"/>
    <w:rsid w:val="00AE2334"/>
    <w:rsid w:val="00AE4620"/>
    <w:rsid w:val="00AF61A9"/>
    <w:rsid w:val="00B13A3A"/>
    <w:rsid w:val="00B14CC7"/>
    <w:rsid w:val="00B26499"/>
    <w:rsid w:val="00B32725"/>
    <w:rsid w:val="00B57D15"/>
    <w:rsid w:val="00B57FFC"/>
    <w:rsid w:val="00B61146"/>
    <w:rsid w:val="00B6190C"/>
    <w:rsid w:val="00B655C8"/>
    <w:rsid w:val="00B76A70"/>
    <w:rsid w:val="00B80B29"/>
    <w:rsid w:val="00B8747C"/>
    <w:rsid w:val="00B929C6"/>
    <w:rsid w:val="00BA6EA4"/>
    <w:rsid w:val="00BB7DF1"/>
    <w:rsid w:val="00BC181C"/>
    <w:rsid w:val="00BC2F86"/>
    <w:rsid w:val="00BF07C8"/>
    <w:rsid w:val="00BF0EC5"/>
    <w:rsid w:val="00BF18BB"/>
    <w:rsid w:val="00C00080"/>
    <w:rsid w:val="00C0040F"/>
    <w:rsid w:val="00C30E4B"/>
    <w:rsid w:val="00C43604"/>
    <w:rsid w:val="00C441DC"/>
    <w:rsid w:val="00C505B2"/>
    <w:rsid w:val="00C527F3"/>
    <w:rsid w:val="00C656EA"/>
    <w:rsid w:val="00C824C3"/>
    <w:rsid w:val="00CA08B2"/>
    <w:rsid w:val="00CA303F"/>
    <w:rsid w:val="00CB059F"/>
    <w:rsid w:val="00CB190B"/>
    <w:rsid w:val="00CB2589"/>
    <w:rsid w:val="00CB37DB"/>
    <w:rsid w:val="00CB51AD"/>
    <w:rsid w:val="00CB6D0E"/>
    <w:rsid w:val="00CB73DB"/>
    <w:rsid w:val="00CD3A0B"/>
    <w:rsid w:val="00CD516E"/>
    <w:rsid w:val="00CE1749"/>
    <w:rsid w:val="00CE3857"/>
    <w:rsid w:val="00CE3D49"/>
    <w:rsid w:val="00CE4CA5"/>
    <w:rsid w:val="00D06542"/>
    <w:rsid w:val="00D068CF"/>
    <w:rsid w:val="00D12EF7"/>
    <w:rsid w:val="00D15E94"/>
    <w:rsid w:val="00D4218F"/>
    <w:rsid w:val="00D54F1D"/>
    <w:rsid w:val="00D61B6D"/>
    <w:rsid w:val="00D660DD"/>
    <w:rsid w:val="00D77EAD"/>
    <w:rsid w:val="00D82EAF"/>
    <w:rsid w:val="00DA72CB"/>
    <w:rsid w:val="00DB0AD5"/>
    <w:rsid w:val="00DB344E"/>
    <w:rsid w:val="00DB5B49"/>
    <w:rsid w:val="00DB641D"/>
    <w:rsid w:val="00DC1C6B"/>
    <w:rsid w:val="00DC464E"/>
    <w:rsid w:val="00DD0A00"/>
    <w:rsid w:val="00DD270E"/>
    <w:rsid w:val="00DD576A"/>
    <w:rsid w:val="00DD591B"/>
    <w:rsid w:val="00E00A5C"/>
    <w:rsid w:val="00E057F6"/>
    <w:rsid w:val="00E233FC"/>
    <w:rsid w:val="00E27437"/>
    <w:rsid w:val="00E34608"/>
    <w:rsid w:val="00E363CC"/>
    <w:rsid w:val="00E44D0C"/>
    <w:rsid w:val="00E46670"/>
    <w:rsid w:val="00E6155F"/>
    <w:rsid w:val="00E67665"/>
    <w:rsid w:val="00E7483E"/>
    <w:rsid w:val="00E95C67"/>
    <w:rsid w:val="00EA0E37"/>
    <w:rsid w:val="00EA34D6"/>
    <w:rsid w:val="00EB5DB5"/>
    <w:rsid w:val="00EC0A60"/>
    <w:rsid w:val="00EC4B90"/>
    <w:rsid w:val="00EE1708"/>
    <w:rsid w:val="00EF206B"/>
    <w:rsid w:val="00EF2669"/>
    <w:rsid w:val="00F05C4F"/>
    <w:rsid w:val="00F13D53"/>
    <w:rsid w:val="00F24FCE"/>
    <w:rsid w:val="00F40FE6"/>
    <w:rsid w:val="00F410B9"/>
    <w:rsid w:val="00F43646"/>
    <w:rsid w:val="00F45CFC"/>
    <w:rsid w:val="00F5350E"/>
    <w:rsid w:val="00F60A2C"/>
    <w:rsid w:val="00F62164"/>
    <w:rsid w:val="00F6304C"/>
    <w:rsid w:val="00F66E22"/>
    <w:rsid w:val="00F72C4C"/>
    <w:rsid w:val="00F736DC"/>
    <w:rsid w:val="00F87CD2"/>
    <w:rsid w:val="00F937C2"/>
    <w:rsid w:val="00F94307"/>
    <w:rsid w:val="00FB4718"/>
    <w:rsid w:val="00FB4D76"/>
    <w:rsid w:val="00FB4FE5"/>
    <w:rsid w:val="00FC1F36"/>
    <w:rsid w:val="00FC2AE5"/>
    <w:rsid w:val="00FD6CB1"/>
    <w:rsid w:val="00FE01A4"/>
    <w:rsid w:val="00FE2769"/>
    <w:rsid w:val="00FF18A9"/>
    <w:rsid w:val="00FF1E75"/>
    <w:rsid w:val="00FF3F1F"/>
    <w:rsid w:val="014574A2"/>
    <w:rsid w:val="061A394A"/>
    <w:rsid w:val="06AF038E"/>
    <w:rsid w:val="0A516F86"/>
    <w:rsid w:val="0BB3256C"/>
    <w:rsid w:val="0E7A2DFA"/>
    <w:rsid w:val="14DB226E"/>
    <w:rsid w:val="1516486E"/>
    <w:rsid w:val="27514612"/>
    <w:rsid w:val="2ACA2711"/>
    <w:rsid w:val="2F8530AA"/>
    <w:rsid w:val="388B1ACD"/>
    <w:rsid w:val="3AB00CEB"/>
    <w:rsid w:val="3AF01909"/>
    <w:rsid w:val="3BD258C9"/>
    <w:rsid w:val="3C3519B4"/>
    <w:rsid w:val="4A8F5A0D"/>
    <w:rsid w:val="4AE35144"/>
    <w:rsid w:val="4E6600F3"/>
    <w:rsid w:val="4F0B3CA6"/>
    <w:rsid w:val="4F6463E1"/>
    <w:rsid w:val="52EB0BC7"/>
    <w:rsid w:val="584274BB"/>
    <w:rsid w:val="5FE36E11"/>
    <w:rsid w:val="604C539B"/>
    <w:rsid w:val="6519160F"/>
    <w:rsid w:val="6E241327"/>
    <w:rsid w:val="70331DD0"/>
    <w:rsid w:val="73624258"/>
    <w:rsid w:val="798A7103"/>
    <w:rsid w:val="7D1C0D35"/>
    <w:rsid w:val="7E7876C9"/>
    <w:rsid w:val="7F121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DAA9F"/>
  <w15:docId w15:val="{B9A266E4-C211-4309-93DB-EB6D43E6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FF8"/>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spacing w:after="0" w:line="240" w:lineRule="auto"/>
    </w:pPr>
  </w:style>
  <w:style w:type="paragraph" w:styleId="a5">
    <w:name w:val="header"/>
    <w:basedOn w:val="a"/>
    <w:link w:val="a6"/>
    <w:uiPriority w:val="99"/>
    <w:unhideWhenUsed/>
    <w:qFormat/>
    <w:pPr>
      <w:tabs>
        <w:tab w:val="center" w:pos="4320"/>
        <w:tab w:val="right" w:pos="8640"/>
      </w:tabs>
      <w:spacing w:after="0" w:line="240" w:lineRule="auto"/>
    </w:p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iCs/>
    </w:rPr>
  </w:style>
  <w:style w:type="character" w:styleId="ae">
    <w:name w:val="line number"/>
    <w:basedOn w:val="a0"/>
    <w:uiPriority w:val="99"/>
    <w:semiHidden/>
    <w:unhideWhenUsed/>
    <w:qFormat/>
  </w:style>
  <w:style w:type="character" w:styleId="af">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pple-converted-space">
    <w:name w:val="apple-converted-space"/>
    <w:basedOn w:val="a0"/>
    <w:qFormat/>
  </w:style>
  <w:style w:type="paragraph" w:customStyle="1" w:styleId="section-title">
    <w:name w:val="section-title"/>
    <w:basedOn w:val="a"/>
    <w:qFormat/>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otnote">
    <w:name w:val="footnote"/>
    <w:basedOn w:val="a"/>
    <w:qFormat/>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 w:type="character" w:customStyle="1" w:styleId="21">
    <w:name w:val="未处理的提及2"/>
    <w:basedOn w:val="a0"/>
    <w:uiPriority w:val="99"/>
    <w:semiHidden/>
    <w:unhideWhenUsed/>
    <w:qFormat/>
    <w:rPr>
      <w:color w:val="605E5C"/>
      <w:shd w:val="clear" w:color="auto" w:fill="E1DFDD"/>
    </w:rPr>
  </w:style>
  <w:style w:type="character" w:styleId="af5">
    <w:name w:val="Unresolved Mention"/>
    <w:basedOn w:val="a0"/>
    <w:uiPriority w:val="99"/>
    <w:semiHidden/>
    <w:unhideWhenUsed/>
    <w:rsid w:val="001A1961"/>
    <w:rPr>
      <w:color w:val="605E5C"/>
      <w:shd w:val="clear" w:color="auto" w:fill="E1DFDD"/>
    </w:rPr>
  </w:style>
  <w:style w:type="table" w:styleId="af6">
    <w:name w:val="Table Grid"/>
    <w:basedOn w:val="a1"/>
    <w:uiPriority w:val="39"/>
    <w:rsid w:val="00731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08FAA-6AAC-4883-A7D8-4D505DFCC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23</Pages>
  <Words>7690</Words>
  <Characters>43914</Characters>
  <Application>Microsoft Office Word</Application>
  <DocSecurity>0</DocSecurity>
  <Lines>954</Lines>
  <Paragraphs>335</Paragraphs>
  <ScaleCrop>false</ScaleCrop>
  <Company/>
  <LinksUpToDate>false</LinksUpToDate>
  <CharactersWithSpaces>51269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 X</dc:creator>
  <cp:lastModifiedBy>WH X</cp:lastModifiedBy>
  <cp:revision>395</cp:revision>
  <dcterms:created xsi:type="dcterms:W3CDTF">2026-07-03T21:52:00Z</dcterms:created>
  <dcterms:modified xsi:type="dcterms:W3CDTF">2026-07-27T15:28:00Z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eyJoZGlkIjoiZmJlYWJjMmI4NDVlYWU0NGEwYjc4MGJhOGNkYTVjMDkiLCJ1c2VySWQiOiIyNzEyNDQyMDkifQ==</vt:lpwstr>
  </property>
  <property fmtid="{D5CDD505-2E9C-101B-9397-08002B2CF9AE}" pid="3" name="KSOProductBuildVer">
    <vt:lpwstr>2052-12.1.0.26884</vt:lpwstr>
  </property>
  <property fmtid="{D5CDD505-2E9C-101B-9397-08002B2CF9AE}" pid="4" name="ICV">
    <vt:lpwstr>16D36E02D8D744AA92A9AAFD45F86A8D_12</vt:lpwstr>
  </property>
  <property fmtid="{D5CDD505-2E9C-101B-9397-08002B2CF9AE}" pid="5" name="ZOTERO_PREF_1">
    <vt:lpwstr>&lt;data data-version="3" zotero-version="9.0.6"&gt;&lt;session id="DYyGSltz"/&gt;&lt;style id="http://www.zotero.org/styles/american-association-for-cancer-research" hasBibliography="1" bibliographyStyleHasBeenSet="0"/&gt;&lt;prefs&gt;&lt;pref name="fieldType" value="Field"/&gt;&lt;/pre</vt:lpwstr>
  </property>
  <property fmtid="{D5CDD505-2E9C-101B-9397-08002B2CF9AE}" pid="6" name="ZOTERO_PREF_2">
    <vt:lpwstr>fs&gt;&lt;/data&gt;</vt:lpwstr>
  </property>
</Properties>
</file>