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p14">
  <w:body>
    <w:p>
      <w:pPr>
        <w:spacing w:after="200" w:before="2400"/>
      </w:pPr>
      <w:r>
        <w:rPr>
          <w:rFonts w:ascii="Arial" w:cs="Arial" w:eastAsia="Arial" w:hAnsi="Arial"/>
          <w:b/>
          <w:bCs/>
          <w:color w:val="1F3864"/>
          <w:sz w:val="52"/>
          <w:szCs w:val="52"/>
        </w:rPr>
        <w:t xml:space="preserve">Client Environment Review</w:t>
      </w:r>
    </w:p>
    <w:p>
      <w:pPr>
        <w:spacing w:after="600" w:before="0"/>
      </w:pPr>
      <w:r>
        <w:rPr>
          <w:rFonts w:ascii="Arial" w:cs="Arial" w:eastAsia="Arial" w:hAnsi="Arial"/>
          <w:color w:val="2F5496"/>
          <w:sz w:val="32"/>
          <w:szCs w:val="32"/>
        </w:rPr>
        <w:t xml:space="preserve">Method and Report Template</w:t>
      </w:r>
    </w:p>
    <w:p>
      <w:pPr>
        <w:spacing w:after="80" w:before="0"/>
      </w:pPr>
      <w:r>
        <w:rPr>
          <w:rFonts w:ascii="Arial" w:cs="Arial" w:eastAsia="Arial" w:hAnsi="Arial"/>
          <w:sz w:val="22"/>
          <w:szCs w:val="22"/>
        </w:rPr>
        <w:t xml:space="preserve">Version 1.1  |  8 September 2026</w:t>
      </w:r>
    </w:p>
    <w:p>
      <w:pPr>
        <w:spacing w:after="80" w:before="0"/>
      </w:pPr>
      <w:r>
        <w:rPr>
          <w:rFonts w:ascii="Arial" w:cs="Arial" w:eastAsia="Arial" w:hAnsi="Arial"/>
          <w:sz w:val="22"/>
          <w:szCs w:val="22"/>
        </w:rPr>
        <w:t xml:space="preserve">blueAPACHE Portfolio Engineering  |  Prepared by Bikash Shrestha, Senior Portfolio Engineer</w:t>
      </w:r>
    </w:p>
    <w:p>
      <w:pPr>
        <w:spacing w:after="1200" w:before="0"/>
      </w:pPr>
      <w:r>
        <w:rPr>
          <w:rFonts w:ascii="Arial" w:cs="Arial" w:eastAsia="Arial" w:hAnsi="Arial"/>
          <w:color w:val="595959"/>
          <w:sz w:val="20"/>
          <w:szCs w:val="20"/>
        </w:rPr>
        <w:t xml:space="preserve">Companion workbook: Client-Environment-Review-Workbook-v1.2.xlsx (scored checklist, roll-ups, portfolio heatmap)</w:t>
      </w:r>
    </w:p>
    <w:p>
      <w:pPr>
        <w:spacing w:after="80" w:before="0"/>
      </w:pPr>
      <w:r>
        <w:rPr>
          <w:rFonts w:ascii="Arial" w:cs="Arial" w:eastAsia="Arial" w:hAnsi="Arial"/>
          <w:b/>
          <w:bCs/>
          <w:color w:val="1F3864"/>
          <w:sz w:val="22"/>
          <w:szCs w:val="22"/>
        </w:rPr>
        <w:t xml:space="preserve">How this document is used</w:t>
      </w:r>
    </w:p>
    <w:p>
      <w:pPr>
        <w:spacing w:after="120" w:before="0"/>
      </w:pPr>
      <w:r>
        <w:rPr>
          <w:rFonts w:ascii="Arial" w:cs="Arial" w:eastAsia="Arial" w:hAnsi="Arial"/>
          <w:sz w:val="20"/>
          <w:szCs w:val="20"/>
        </w:rPr>
        <w:t xml:space="preserve">Part A is internal: how to run the review, score it, and turn findings into tickets, leads and risk decisions. Part B is the report template: copy it into a new document per client, replace the [red placeholders], delete the grey guidance notes, and it is ready for the SDM or the client.</w:t>
      </w:r>
    </w:p>
    <w:p>
      <w:pPr>
        <w:spacing w:after="120" w:before="0"/>
      </w:pPr>
      <w:r>
        <w:rPr>
          <w:rFonts w:ascii="Arial" w:cs="Arial" w:eastAsia="Arial" w:hAnsi="Arial"/>
          <w:i/>
          <w:iCs/>
          <w:color w:val="595959"/>
          <w:sz w:val="18"/>
          <w:szCs w:val="18"/>
        </w:rPr>
        <w:t xml:space="preserve">Classification: Part A internal (blueAPACHE). Part B becomes client-facing once desanitised and approved by the SDM.</w:t>
      </w:r>
    </w:p>
    <w:p>
      <w:r>
        <w:br w:type="page"/>
      </w:r>
    </w:p>
    <w:p>
      <w:pPr>
        <w:spacing w:after="200" w:before="0"/>
      </w:pPr>
      <w:r>
        <w:rPr>
          <w:rFonts w:ascii="Arial" w:cs="Arial" w:eastAsia="Arial" w:hAnsi="Arial"/>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200"/>
      </w:pPr>
      <w:r>
        <w:rPr>
          <w:rFonts w:ascii="Arial" w:cs="Arial" w:eastAsia="Arial" w:hAnsi="Arial"/>
          <w:i/>
          <w:iCs/>
          <w:color w:val="595959"/>
          <w:sz w:val="18"/>
          <w:szCs w:val="18"/>
        </w:rPr>
        <w:t xml:space="preserve">Right-click and choose 'Update field' (or press F9) in Word to refresh the contents.</w:t>
      </w:r>
    </w:p>
    <w:p>
      <w:r>
        <w:br w:type="page"/>
      </w:r>
    </w:p>
    <w:p>
      <w:pPr>
        <w:pStyle w:val="Heading1"/>
        <w:spacing w:after="160" w:before="360"/>
      </w:pPr>
      <w:r>
        <w:rPr>
          <w:rFonts w:ascii="Arial" w:cs="Arial" w:eastAsia="Arial" w:hAnsi="Arial"/>
          <w:b/>
          <w:bCs/>
          <w:color w:val="1F3864"/>
          <w:sz w:val="30"/>
          <w:szCs w:val="30"/>
        </w:rPr>
        <w:t xml:space="preserve">Part A - How to run a Client Environment Review</w:t>
      </w:r>
    </w:p>
    <w:p>
      <w:pPr>
        <w:pStyle w:val="Heading2"/>
        <w:spacing w:after="120" w:before="280"/>
      </w:pPr>
      <w:r>
        <w:rPr>
          <w:rFonts w:ascii="Arial" w:cs="Arial" w:eastAsia="Arial" w:hAnsi="Arial"/>
          <w:b/>
          <w:bCs/>
          <w:color w:val="1F3864"/>
          <w:sz w:val="24"/>
          <w:szCs w:val="24"/>
        </w:rPr>
        <w:t xml:space="preserve">A1. Purpose and outcomes</w:t>
      </w:r>
    </w:p>
    <w:p>
      <w:pPr>
        <w:spacing w:after="120" w:before="0"/>
      </w:pPr>
      <w:r>
        <w:rPr>
          <w:rFonts w:ascii="Arial" w:cs="Arial" w:eastAsia="Arial" w:hAnsi="Arial"/>
          <w:sz w:val="20"/>
          <w:szCs w:val="20"/>
        </w:rPr>
        <w:t xml:space="preserve">A Client Environment Review is a structured, scored look at one client's environment across eleven domains, run by the Portfolio Engineer using evidence from blueAPACHE's tooling and the client's own portals. It exists to answer four questions in a way that can be repeated next quarter and compared across the portfolio:</w:t>
      </w:r>
    </w:p>
    <w:p>
      <w:pPr>
        <w:pStyle w:val="ListParagraph"/>
        <w:numPr>
          <w:ilvl w:val="0"/>
          <w:numId w:val="2"/>
        </w:numPr>
        <w:spacing w:after="80"/>
      </w:pPr>
      <w:r>
        <w:rPr>
          <w:rFonts w:ascii="Arial" w:cs="Arial" w:eastAsia="Arial" w:hAnsi="Arial"/>
          <w:sz w:val="20"/>
          <w:szCs w:val="20"/>
        </w:rPr>
        <w:t xml:space="preserve">Where are the gaps that put the client (and bA's service) at risk, and how serious are they in this client's context?</w:t>
      </w:r>
    </w:p>
    <w:p>
      <w:pPr>
        <w:pStyle w:val="ListParagraph"/>
        <w:numPr>
          <w:ilvl w:val="0"/>
          <w:numId w:val="2"/>
        </w:numPr>
        <w:spacing w:after="80"/>
      </w:pPr>
      <w:r>
        <w:rPr>
          <w:rFonts w:ascii="Arial" w:cs="Arial" w:eastAsia="Arial" w:hAnsi="Arial"/>
          <w:sz w:val="20"/>
          <w:szCs w:val="20"/>
        </w:rPr>
        <w:t xml:space="preserve">What are we contracted to deliver under BAMS that is not actually happening (coverage gaps), and what are we doing that we are not paid for (scope leakage)?</w:t>
      </w:r>
    </w:p>
    <w:p>
      <w:pPr>
        <w:pStyle w:val="ListParagraph"/>
        <w:numPr>
          <w:ilvl w:val="0"/>
          <w:numId w:val="2"/>
        </w:numPr>
        <w:spacing w:after="80"/>
      </w:pPr>
      <w:r>
        <w:rPr>
          <w:rFonts w:ascii="Arial" w:cs="Arial" w:eastAsia="Arial" w:hAnsi="Arial"/>
          <w:sz w:val="20"/>
          <w:szCs w:val="20"/>
        </w:rPr>
        <w:t xml:space="preserve">Which improvements are billable projects, which are value-add fixes, and which are the client's own decisions to make?</w:t>
      </w:r>
    </w:p>
    <w:p>
      <w:pPr>
        <w:pStyle w:val="ListParagraph"/>
        <w:numPr>
          <w:ilvl w:val="0"/>
          <w:numId w:val="2"/>
        </w:numPr>
        <w:spacing w:after="80"/>
      </w:pPr>
      <w:r>
        <w:rPr>
          <w:rFonts w:ascii="Arial" w:cs="Arial" w:eastAsia="Arial" w:hAnsi="Arial"/>
          <w:sz w:val="20"/>
          <w:szCs w:val="20"/>
        </w:rPr>
        <w:t xml:space="preserve">What are the three things this client should hear about this quarter?</w:t>
      </w:r>
    </w:p>
    <w:p>
      <w:pPr>
        <w:spacing w:after="120" w:before="0"/>
      </w:pPr>
      <w:r>
        <w:rPr>
          <w:rFonts w:ascii="Arial" w:cs="Arial" w:eastAsia="Arial" w:hAnsi="Arial"/>
          <w:sz w:val="20"/>
          <w:szCs w:val="20"/>
        </w:rPr>
        <w:t xml:space="preserve">The outputs are: a completed workbook (internal), a client-ready report (Part B), and a set of filed items - commitments, opportunities, STACK debt entries, SNOW tickets, eFO leads and risk notifications - so that nothing found in the review is lost.</w:t>
      </w:r>
    </w:p>
    <w:p>
      <w:pPr>
        <w:pStyle w:val="Heading2"/>
        <w:spacing w:after="120" w:before="280"/>
      </w:pPr>
      <w:r>
        <w:rPr>
          <w:rFonts w:ascii="Arial" w:cs="Arial" w:eastAsia="Arial" w:hAnsi="Arial"/>
          <w:b/>
          <w:bCs/>
          <w:color w:val="1F3864"/>
          <w:sz w:val="24"/>
          <w:szCs w:val="24"/>
        </w:rPr>
        <w:t xml:space="preserve">A2. When to run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500"/>
        <w:gridCol w:w="29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Trigger</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Depth</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Effort (typical)</w:t>
            </w:r>
          </w:p>
        </w:tc>
        <w:tc>
          <w:tcPr>
            <w:tcW w:type="dxa" w:w="29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Notes</w:t>
            </w:r>
          </w:p>
        </w:tc>
      </w:tr>
      <w:tr>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Account pick-up / handover</w:t>
            </w:r>
          </w:p>
        </w:tc>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Baseline - full pass, all domains</w:t>
            </w:r>
          </w:p>
        </w:tc>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4-6 h over 1-2 weeks</w:t>
            </w:r>
          </w:p>
        </w:tc>
        <w:tc>
          <w:tcPr>
            <w:tcW w:type="dxa" w:w="29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Do it before the first strategic meeting. Unknowns score 0 with a note; they become the STACK verification backlog.</w:t>
            </w:r>
          </w:p>
        </w:tc>
      </w:tr>
      <w:tr>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Quarterly</w:t>
            </w:r>
          </w:p>
        </w:tc>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Refresh - previous gaps, all COV controls, anything changed in LOG.md, any control not reviewed in 6 months</w:t>
            </w:r>
          </w:p>
        </w:tc>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1-2 h</w:t>
            </w:r>
          </w:p>
        </w:tc>
        <w:tc>
          <w:tcPr>
            <w:tcW w:type="dxa" w:w="29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Aligns with the handbook's 3-monthly BAMS inclusions review and quarterly technology / M365 health reporting. Produces the Top-3 for the quarter.</w:t>
            </w:r>
          </w:p>
        </w:tc>
      </w:tr>
      <w:tr>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Annually</w:t>
            </w:r>
          </w:p>
        </w:tc>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Full pass</w:t>
            </w:r>
          </w:p>
        </w:tc>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3-4 h</w:t>
            </w:r>
          </w:p>
        </w:tc>
        <w:tc>
          <w:tcPr>
            <w:tcW w:type="dxa" w:w="29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Re-baseline; reset targets where the client's obligations or E8 target changed.</w:t>
            </w:r>
          </w:p>
        </w:tc>
      </w:tr>
      <w:tr>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Triggered</w:t>
            </w:r>
          </w:p>
        </w:tc>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Focused - affected domains</w:t>
            </w:r>
          </w:p>
        </w:tc>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1-2 h</w:t>
            </w:r>
          </w:p>
        </w:tc>
        <w:tc>
          <w:tcPr>
            <w:tcW w:type="dxa" w:w="29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Major incident, contract renewal, scope change, new SDM/CAM, cyber-insurance renewal, audit request.</w:t>
            </w:r>
          </w:p>
        </w:tc>
      </w:tr>
    </w:tbl>
    <w:p>
      <w:pPr>
        <w:pStyle w:val="Heading2"/>
        <w:spacing w:after="120" w:before="280"/>
      </w:pPr>
      <w:r>
        <w:rPr>
          <w:rFonts w:ascii="Arial" w:cs="Arial" w:eastAsia="Arial" w:hAnsi="Arial"/>
          <w:b/>
          <w:bCs/>
          <w:color w:val="1F3864"/>
          <w:sz w:val="24"/>
          <w:szCs w:val="24"/>
        </w:rPr>
        <w:t xml:space="preserve">A3. What it discharges from the PE Handbook</w:t>
      </w:r>
    </w:p>
    <w:p>
      <w:pPr>
        <w:spacing w:after="120" w:before="0"/>
      </w:pPr>
      <w:r>
        <w:rPr>
          <w:rFonts w:ascii="Arial" w:cs="Arial" w:eastAsia="Arial" w:hAnsi="Arial"/>
          <w:sz w:val="20"/>
          <w:szCs w:val="20"/>
        </w:rPr>
        <w:t xml:space="preserve">The review is not extra work on top of the handbook - it is one artefact that produces the evidence the handbook already asks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Handbook expectation</w:t>
            </w:r>
          </w:p>
        </w:tc>
        <w:tc>
          <w:tcPr>
            <w:tcW w:type="dxa" w:w="54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Where the review covers it</w:t>
            </w:r>
          </w:p>
        </w:tc>
      </w:tr>
      <w:tr>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Priority 5 - risks notified to SDM and CAM (time in the Proactive subtask)</w:t>
            </w:r>
          </w:p>
        </w:tc>
        <w:tc>
          <w:tcPr>
            <w:tcW w:type="dxa" w:w="5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Every High-risk gap is filed as 'Risk notified (SDM+CAM)' with a date; DOC-09 and LIC-08 check the loop is closed.</w:t>
            </w:r>
          </w:p>
        </w:tc>
      </w:tr>
      <w:tr>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Priority 13 - BAMS inclusions review every 3 months (PowerBI roles report; monitoring, backup, patching coverage)</w:t>
            </w:r>
          </w:p>
        </w:tc>
        <w:tc>
          <w:tcPr>
            <w:tcW w:type="dxa" w:w="5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Domain COV, controls COV-01 to COV-05 and COV-10.</w:t>
            </w:r>
          </w:p>
        </w:tc>
      </w:tr>
      <w:tr>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Priority 14 - documentation currency (critical infra docs &gt; 1 month, services docs &gt; 3 months)</w:t>
            </w:r>
          </w:p>
        </w:tc>
        <w:tc>
          <w:tcPr>
            <w:tcW w:type="dxa" w:w="5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Domain DOC, controls DOC-01, DOC-02, DOC-05, DOC-06.</w:t>
            </w:r>
          </w:p>
        </w:tc>
      </w:tr>
      <w:tr>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Priority 15 - find billable items, raise leads in eFO</w:t>
            </w:r>
          </w:p>
        </w:tc>
        <w:tc>
          <w:tcPr>
            <w:tcW w:type="dxa" w:w="5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Every gap tagged Billable becomes an eFO lead via the SDM; LIC-05 keeps the roadmap tied to leads.</w:t>
            </w:r>
          </w:p>
        </w:tc>
      </w:tr>
      <w:tr>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Quarterly technology / M365 health reports - top three priorities per customer per quarter; agreed remediation is billable</w:t>
            </w:r>
          </w:p>
        </w:tc>
        <w:tc>
          <w:tcPr>
            <w:tcW w:type="dxa" w:w="5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Findings tab Top-3 and report section B5; M365-01, SEC-11.</w:t>
            </w:r>
          </w:p>
        </w:tc>
      </w:tr>
      <w:tr>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Proactive problem management register</w:t>
            </w:r>
          </w:p>
        </w:tc>
        <w:tc>
          <w:tcPr>
            <w:tcW w:type="dxa" w:w="5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COV-06 (ticket trends -&gt; problem records) and PROBLEMS.md.</w:t>
            </w:r>
          </w:p>
        </w:tc>
      </w:tr>
      <w:tr>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Best-practice checklists (Fortinet, Airlock, Autopilot &amp; Intune, Rapid7, Huntress, Mimecast, ControlUP)</w:t>
            </w:r>
          </w:p>
        </w:tc>
        <w:tc>
          <w:tcPr>
            <w:tcW w:type="dxa" w:w="5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Referenced as evidence in NET-02, NET-07, END-09, END-13 and SEC controls; deviations documented in the notes column.</w:t>
            </w:r>
          </w:p>
        </w:tc>
      </w:tr>
    </w:tbl>
    <w:p>
      <w:pPr>
        <w:pStyle w:val="Heading2"/>
        <w:spacing w:after="120" w:before="280"/>
      </w:pPr>
      <w:r>
        <w:rPr>
          <w:rFonts w:ascii="Arial" w:cs="Arial" w:eastAsia="Arial" w:hAnsi="Arial"/>
          <w:b/>
          <w:bCs/>
          <w:color w:val="1F3864"/>
          <w:sz w:val="24"/>
          <w:szCs w:val="24"/>
        </w:rPr>
        <w:t xml:space="preserve">A4. The eleven domains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838"/>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Code</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Domain</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What it covers</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IAM</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Identity &amp; Access</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Entra ID / AD DS, MFA, Conditional Access, privileged roles, partner (GDAP) access, account lifecycle.</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M365</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Microsoft 365 &amp; Email Security</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Tenant baseline, Secure Score, mail flow and authentication, Exchange/SharePoint/Teams governance, data protection, M365 backup, licensing fit.</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END</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Endpoint</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Device management coverage, OS and application patching, EDR, encryption, local admin, application control, macro and application hardening, mobile.</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SRV</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Servers &amp; Virtualisation</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Inventory accuracy, OS support status, patching, hardening, privileged access, hypervisor health, capacity, file/DB/print/PKI services, Linux.</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NET</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Network &amp; Firewall</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Documentation, firewall platform and policy hygiene, internet exposure, remote access, segmentation, switching and wireless, monitoring, WAN resilience, DNS/domains.</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BDR</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Backup &amp; DR</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Coverage, success rates, retention/RPO/RTO, 3-2-1 and immutability, restore testing, application consistency, DR plan, backup platform lifecycle.</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COV</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Monitoring, Patching &amp; BAMS Coverage</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Contract-vs-reality: BAMS inclusions reconciled, monitoring and patching coverage, security tooling seat counts, ticket trends, bA access hygiene, reporting cadence.</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SEC</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Security Programme &amp; Essential Eight</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Agreed E8 target, MDR/SOC and logging, vulnerability management, external attack surface, awareness, IR readiness, PAM process, governance, physical security.</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AZ</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Azure &amp; Cloud</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Governance and tagging, RBAC, cost, security posture, resilience/backup, networking, operations, other cloud/SaaS.</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DOC</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Documentation &amp; Operational Hygiene</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Documentation currency, diagrams, credential handling, runbooks, CI accuracy, standards, knowledge risk, licence records, risk communication.</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LIC</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Lifecycle, Licensing &amp; Commercial</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Hardware/software lifecycle registers, renewals calendar, licence optimisation, roadmap, capacity/budget cycle, contract scope fit, strategic risks.</w:t>
            </w:r>
          </w:p>
        </w:tc>
      </w:tr>
    </w:tbl>
    <w:p>
      <w:pPr>
        <w:spacing w:after="120" w:before="120"/>
      </w:pPr>
      <w:r>
        <w:rPr>
          <w:rFonts w:ascii="Arial" w:cs="Arial" w:eastAsia="Arial" w:hAnsi="Arial"/>
          <w:sz w:val="20"/>
          <w:szCs w:val="20"/>
        </w:rPr>
        <w:t xml:space="preserve">The workbook holds 125 controls across these domains. Each control states why it matters, where the evidence lives in bA's tooling, how to check it, the target state, its Essential Eight mapping where relevant, and the typical commercial tag.</w:t>
      </w:r>
    </w:p>
    <w:p>
      <w:pPr>
        <w:pStyle w:val="Heading2"/>
        <w:spacing w:after="120" w:before="280"/>
      </w:pPr>
      <w:r>
        <w:rPr>
          <w:rFonts w:ascii="Arial" w:cs="Arial" w:eastAsia="Arial" w:hAnsi="Arial"/>
          <w:b/>
          <w:bCs/>
          <w:color w:val="1F3864"/>
          <w:sz w:val="24"/>
          <w:szCs w:val="24"/>
        </w:rPr>
        <w:t xml:space="preserve">A5. Evidence - where to look</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Most of this is desk work from bA's own consoles. Client-portal checks (Entra, Defender, Azure) go through M365 Lighthouse / Azure Lighthouse with your named admin account (KB0012228, KB0012557, KB0016370). Anything you cannot see, ask the SDM to obtain or mark as unverified with a [SDM] tag.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138"/>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Domain</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Primary sources</w:t>
            </w:r>
          </w:p>
        </w:tc>
        <w:tc>
          <w:tcPr>
            <w:tcW w:type="dxa" w:w="51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What to pull before scoring</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IAM</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Entra admin centre (Lighthouse), Secure Score, CyberArk, RDM to a DC</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CA policy list, MFA registration report, role holders, GDAP relationships, sign-in log (legacy auth), dcdiag / repadmin output</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M365</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Defender portal, Exchange / SharePoint / Teams admin centres, Mimecast, mxtoolbox</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Secure Score and last quarterly report, DKIM/SPF/DMARC results per domain, outbound spam policy, sharing settings, licence table</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END</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Intune reports, N-Central / NinjaOne, EDR console, Huntress, Airlock portal</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Device counts per tool, update ring compliance, 3rd-party patch compliance, encryption report, LAPS coverage, application control mode</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SRV</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SNOW CIs, eFO Cloud Services, Orion, vminfo, vCenter / emPOWER VCD, N-Central OS report</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Server list with OS and EoS, patch status, hypervisor version and capacity, SQL inventory, certificate expiry list</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NET</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FortiManager / FortiAnalyzer, Meraki / Aruba Central, Netbox, SharePoint diagrams, Rapid7 external scan</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Firmware vs PSIRT, policy table with hit counts, external scan results, VLAN list, licence expiry dates, diagram revision date</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BDR</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Veeam console / Veeam ONE, vminfo, Azure Backup, M365 backup console, DR document</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Unprotected list, 30-day job history, repository immutability settings, last restore-test evidence, DR plan date</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COV</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PowerBI roles report, eFO, Orion, N-Central, tool consoles, SNOW reports</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Billed items vs inventory, monitored vs inventory, patch policy membership, seat counts vs deployed, 90-day incident list</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SEC</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Huntress, Rapid7 IDR / IVM, LionGard, training platform, client policies</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Coverage per tool, log sources, scan schedules, external findings, campaign results, IR plan date, insurance conditions</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AZ</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Azure portal via Lighthouse, Defender for Cloud, Cost Management, Advisor</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Subscriptions and owners, RBAC at subscription scope, secure score, NSG exposure, backup items, cost trend and Advisor savings</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DOC</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SNOW Knowledge, SharePoint Technical and Commercial, Confluence (legacy), CyberArk</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Critical doc list with dates, diagram versions, credential sweep results, KB coverage of top tickets, licence register</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LIC</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Microsoft Lifecycle, vendor EoS pages, warranty lookups, eFO annuity, SoW</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Lifecycle register, renewals list with dates, licence usage, roadmap, budget window, scope-leakage examples from LOG.md</w:t>
            </w:r>
          </w:p>
        </w:tc>
      </w:tr>
    </w:tbl>
    <w:p>
      <w:pPr>
        <w:pStyle w:val="Heading2"/>
        <w:spacing w:after="120" w:before="280"/>
      </w:pPr>
      <w:r>
        <w:rPr>
          <w:rFonts w:ascii="Arial" w:cs="Arial" w:eastAsia="Arial" w:hAnsi="Arial"/>
          <w:b/>
          <w:bCs/>
          <w:color w:val="1F3864"/>
          <w:sz w:val="24"/>
          <w:szCs w:val="24"/>
        </w:rPr>
        <w:t xml:space="preserve">A6. Running the review - step by step</w:t>
      </w:r>
    </w:p>
    <w:p>
      <w:pPr>
        <w:pStyle w:val="ListParagraph"/>
        <w:numPr>
          <w:ilvl w:val="0"/>
          <w:numId w:val="3"/>
        </w:numPr>
        <w:spacing w:after="80"/>
      </w:pPr>
      <w:r>
        <w:rPr>
          <w:rFonts w:ascii="Arial" w:cs="Arial" w:eastAsia="Arial" w:hAnsi="Arial"/>
          <w:b/>
          <w:bCs/>
          <w:sz w:val="20"/>
          <w:szCs w:val="20"/>
        </w:rPr>
        <w:t xml:space="preserve">Client tab. </w:t>
      </w:r>
      <w:r>
        <w:rPr>
          <w:rFonts w:ascii="Arial" w:cs="Arial" w:eastAsia="Arial" w:hAnsi="Arial"/>
          <w:sz w:val="20"/>
          <w:szCs w:val="20"/>
        </w:rPr>
        <w:t xml:space="preserve">Fill in the client details, mark domains out of scope, record the Essential Eight target the client has agreed (or 'none agreed' - that is itself a finding, SEC-01).</w:t>
      </w:r>
    </w:p>
    <w:p>
      <w:pPr>
        <w:pStyle w:val="ListParagraph"/>
        <w:numPr>
          <w:ilvl w:val="0"/>
          <w:numId w:val="3"/>
        </w:numPr>
        <w:spacing w:after="80"/>
      </w:pPr>
      <w:r>
        <w:rPr>
          <w:rFonts w:ascii="Arial" w:cs="Arial" w:eastAsia="Arial" w:hAnsi="Arial"/>
          <w:b/>
          <w:bCs/>
          <w:sz w:val="20"/>
          <w:szCs w:val="20"/>
        </w:rPr>
        <w:t xml:space="preserve">Prep (30 min). </w:t>
      </w:r>
      <w:r>
        <w:rPr>
          <w:rFonts w:ascii="Arial" w:cs="Arial" w:eastAsia="Arial" w:hAnsi="Arial"/>
          <w:sz w:val="20"/>
          <w:szCs w:val="20"/>
        </w:rPr>
        <w:t xml:space="preserve">Read PROFILE, STACK (including the debt register and verification backlog), the last three LOG entries, open COMMITMENTS, PROBLEMS and OPPORTUNITIES. Pull the evidence listed in A5. Note what the SDM has already promised the client.</w:t>
      </w:r>
    </w:p>
    <w:p>
      <w:pPr>
        <w:pStyle w:val="ListParagraph"/>
        <w:numPr>
          <w:ilvl w:val="0"/>
          <w:numId w:val="3"/>
        </w:numPr>
        <w:spacing w:after="80"/>
      </w:pPr>
      <w:r>
        <w:rPr>
          <w:rFonts w:ascii="Arial" w:cs="Arial" w:eastAsia="Arial" w:hAnsi="Arial"/>
          <w:b/>
          <w:bCs/>
          <w:sz w:val="20"/>
          <w:szCs w:val="20"/>
        </w:rPr>
        <w:t xml:space="preserve">Score (2-3 h for a baseline). </w:t>
      </w:r>
      <w:r>
        <w:rPr>
          <w:rFonts w:ascii="Arial" w:cs="Arial" w:eastAsia="Arial" w:hAnsi="Arial"/>
          <w:sz w:val="20"/>
          <w:szCs w:val="20"/>
        </w:rPr>
        <w:t xml:space="preserve">Work one domain at a time using the Dom filter. Score every control 0-3 or N/A. Write what you saw, where and when in 'Current state / evidence' and tag the source ([VERIFIED], [SNOW], [DOC], [SDM]). Unknown scores 0 with a note - do not guess upward.</w:t>
      </w:r>
    </w:p>
    <w:p>
      <w:pPr>
        <w:pStyle w:val="ListParagraph"/>
        <w:numPr>
          <w:ilvl w:val="0"/>
          <w:numId w:val="3"/>
        </w:numPr>
        <w:spacing w:after="80"/>
      </w:pPr>
      <w:r>
        <w:rPr>
          <w:rFonts w:ascii="Arial" w:cs="Arial" w:eastAsia="Arial" w:hAnsi="Arial"/>
          <w:b/>
          <w:bCs/>
          <w:sz w:val="20"/>
          <w:szCs w:val="20"/>
        </w:rPr>
        <w:t xml:space="preserve">Rate the gaps. </w:t>
      </w:r>
      <w:r>
        <w:rPr>
          <w:rFonts w:ascii="Arial" w:cs="Arial" w:eastAsia="Arial" w:hAnsi="Arial"/>
          <w:sz w:val="20"/>
          <w:szCs w:val="20"/>
        </w:rPr>
        <w:t xml:space="preserve">For each 'Gap' row set Risk (H/M/L - business consequence times likelihood, in this client's context), Effort (S = under a day, M = days, L = a project), confirm the Tag, and write a one-line recommendation with an owner. Priority and Quick-win compute automatically.</w:t>
      </w:r>
    </w:p>
    <w:p>
      <w:pPr>
        <w:pStyle w:val="ListParagraph"/>
        <w:numPr>
          <w:ilvl w:val="0"/>
          <w:numId w:val="3"/>
        </w:numPr>
        <w:spacing w:after="80"/>
      </w:pPr>
      <w:r>
        <w:rPr>
          <w:rFonts w:ascii="Arial" w:cs="Arial" w:eastAsia="Arial" w:hAnsi="Arial"/>
          <w:b/>
          <w:bCs/>
          <w:sz w:val="20"/>
          <w:szCs w:val="20"/>
        </w:rPr>
        <w:t xml:space="preserve">Read the roll-ups. </w:t>
      </w:r>
      <w:r>
        <w:rPr>
          <w:rFonts w:ascii="Arial" w:cs="Arial" w:eastAsia="Arial" w:hAnsi="Arial"/>
          <w:sz w:val="20"/>
          <w:szCs w:val="20"/>
        </w:rPr>
        <w:t xml:space="preserve">Summary gives the domain scorecard, the indicative Essential Eight position and the gap mix by tag. Findings ranks the top 20. Sanity-check: does the ranking match your gut? If not, your risk ratings are wrong, not the sheet.</w:t>
      </w:r>
    </w:p>
    <w:p>
      <w:pPr>
        <w:pStyle w:val="ListParagraph"/>
        <w:numPr>
          <w:ilvl w:val="0"/>
          <w:numId w:val="3"/>
        </w:numPr>
        <w:spacing w:after="80"/>
      </w:pPr>
      <w:r>
        <w:rPr>
          <w:rFonts w:ascii="Arial" w:cs="Arial" w:eastAsia="Arial" w:hAnsi="Arial"/>
          <w:b/>
          <w:bCs/>
          <w:sz w:val="20"/>
          <w:szCs w:val="20"/>
        </w:rPr>
        <w:t xml:space="preserve">Validate with the SDM (30 min). </w:t>
      </w:r>
      <w:r>
        <w:rPr>
          <w:rFonts w:ascii="Arial" w:cs="Arial" w:eastAsia="Arial" w:hAnsi="Arial"/>
          <w:sz w:val="20"/>
          <w:szCs w:val="20"/>
        </w:rPr>
        <w:t xml:space="preserve">Politics, budget cycle, what is already in flight, what the client will not want to hear yet. Agree the Top-3 for the quarter. Adjust ratings; record the SDM's input as [SDM].</w:t>
      </w:r>
    </w:p>
    <w:p>
      <w:pPr>
        <w:pStyle w:val="ListParagraph"/>
        <w:numPr>
          <w:ilvl w:val="0"/>
          <w:numId w:val="3"/>
        </w:numPr>
        <w:spacing w:after="80"/>
      </w:pPr>
      <w:r>
        <w:rPr>
          <w:rFonts w:ascii="Arial" w:cs="Arial" w:eastAsia="Arial" w:hAnsi="Arial"/>
          <w:b/>
          <w:bCs/>
          <w:sz w:val="20"/>
          <w:szCs w:val="20"/>
        </w:rPr>
        <w:t xml:space="preserve">File everything (see A9). </w:t>
      </w:r>
      <w:r>
        <w:rPr>
          <w:rFonts w:ascii="Arial" w:cs="Arial" w:eastAsia="Arial" w:hAnsi="Arial"/>
          <w:sz w:val="20"/>
          <w:szCs w:val="20"/>
        </w:rPr>
        <w:t xml:space="preserve">Set 'Filed to' and a reference on every gap. Nothing stays only in the workbook.</w:t>
      </w:r>
    </w:p>
    <w:p>
      <w:pPr>
        <w:pStyle w:val="ListParagraph"/>
        <w:numPr>
          <w:ilvl w:val="0"/>
          <w:numId w:val="3"/>
        </w:numPr>
        <w:spacing w:after="80"/>
      </w:pPr>
      <w:r>
        <w:rPr>
          <w:rFonts w:ascii="Arial" w:cs="Arial" w:eastAsia="Arial" w:hAnsi="Arial"/>
          <w:b/>
          <w:bCs/>
          <w:sz w:val="20"/>
          <w:szCs w:val="20"/>
        </w:rPr>
        <w:t xml:space="preserve">Write the report (Part B). </w:t>
      </w:r>
      <w:r>
        <w:rPr>
          <w:rFonts w:ascii="Arial" w:cs="Arial" w:eastAsia="Arial" w:hAnsi="Arial"/>
          <w:sz w:val="20"/>
          <w:szCs w:val="20"/>
        </w:rPr>
        <w:t xml:space="preserve">Internal version first with placeholders sanitised; desanitise only when the SDM confirms it is going out. Keep it short: a client reads the executive summary and the Top-3; the SDM reads the roadmap and the coverage section.</w:t>
      </w:r>
    </w:p>
    <w:p>
      <w:pPr>
        <w:pStyle w:val="ListParagraph"/>
        <w:numPr>
          <w:ilvl w:val="0"/>
          <w:numId w:val="3"/>
        </w:numPr>
        <w:spacing w:after="80"/>
      </w:pPr>
      <w:r>
        <w:rPr>
          <w:rFonts w:ascii="Arial" w:cs="Arial" w:eastAsia="Arial" w:hAnsi="Arial"/>
          <w:b/>
          <w:bCs/>
          <w:sz w:val="20"/>
          <w:szCs w:val="20"/>
        </w:rPr>
        <w:t xml:space="preserve">Portfolio. </w:t>
      </w:r>
      <w:r>
        <w:rPr>
          <w:rFonts w:ascii="Arial" w:cs="Arial" w:eastAsia="Arial" w:hAnsi="Arial"/>
          <w:sz w:val="20"/>
          <w:szCs w:val="20"/>
        </w:rPr>
        <w:t xml:space="preserve">Paste the Summary export strip and the GapFlag column into the master Portfolio tab. Update _INDEX.md health and themes.</w:t>
      </w:r>
    </w:p>
    <w:p>
      <w:pPr>
        <w:pStyle w:val="ListParagraph"/>
        <w:numPr>
          <w:ilvl w:val="0"/>
          <w:numId w:val="3"/>
        </w:numPr>
        <w:spacing w:after="80"/>
      </w:pPr>
      <w:r>
        <w:rPr>
          <w:rFonts w:ascii="Arial" w:cs="Arial" w:eastAsia="Arial" w:hAnsi="Arial"/>
          <w:b/>
          <w:bCs/>
          <w:sz w:val="20"/>
          <w:szCs w:val="20"/>
        </w:rPr>
        <w:t xml:space="preserve">Log the time. </w:t>
      </w:r>
      <w:r>
        <w:rPr>
          <w:rFonts w:ascii="Arial" w:cs="Arial" w:eastAsia="Arial" w:hAnsi="Arial"/>
          <w:sz w:val="20"/>
          <w:szCs w:val="20"/>
        </w:rPr>
        <w:t xml:space="preserve">Review time goes to the customer's Proactive / Admin task per the handbook; remediation agreed from the review is billable and goes to its own ticket or project.</w:t>
      </w:r>
    </w:p>
    <w:p>
      <w:pPr>
        <w:pStyle w:val="Heading2"/>
        <w:spacing w:after="120" w:before="280"/>
      </w:pPr>
      <w:r>
        <w:rPr>
          <w:rFonts w:ascii="Arial" w:cs="Arial" w:eastAsia="Arial" w:hAnsi="Arial"/>
          <w:b/>
          <w:bCs/>
          <w:color w:val="1F3864"/>
          <w:sz w:val="24"/>
          <w:szCs w:val="24"/>
        </w:rPr>
        <w:t xml:space="preserve">A7. Scoring, priority and tags</w:t>
      </w:r>
    </w:p>
    <w:p>
      <w:pPr>
        <w:pStyle w:val="Heading3"/>
        <w:spacing w:after="80" w:before="200"/>
      </w:pPr>
      <w:r>
        <w:rPr>
          <w:rFonts w:ascii="Arial" w:cs="Arial" w:eastAsia="Arial" w:hAnsi="Arial"/>
          <w:b/>
          <w:bCs/>
          <w:color w:val="2F5496"/>
          <w:sz w:val="21"/>
          <w:szCs w:val="21"/>
        </w:rPr>
        <w:t xml:space="preserve">Score (per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Score</w:t>
            </w:r>
          </w:p>
        </w:tc>
        <w:tc>
          <w:tcPr>
            <w:tcW w:type="dxa" w:w="86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Meaning</w:t>
            </w:r>
          </w:p>
        </w:tc>
      </w:tr>
      <w:tr>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0</w:t>
            </w:r>
          </w:p>
        </w:tc>
        <w:tc>
          <w:tcPr>
            <w:tcW w:type="dxa" w:w="8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Absent or unknown - not implemented, or no evidence could be found. Unknown scores 0 until evidenced; the note says what would prove it.</w:t>
            </w:r>
          </w:p>
        </w:tc>
      </w:tr>
      <w:tr>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1</w:t>
            </w:r>
          </w:p>
        </w:tc>
        <w:tc>
          <w:tcPr>
            <w:tcW w:type="dxa" w:w="8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Partial or ad hoc - implemented for part of the scope, undocumented, unverified, or dependent on one person.</w:t>
            </w:r>
          </w:p>
        </w:tc>
      </w:tr>
      <w:tr>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2</w:t>
            </w:r>
          </w:p>
        </w:tc>
        <w:tc>
          <w:tcPr>
            <w:tcW w:type="dxa" w:w="8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Implemented and consistent - meets the target state across the in-scope estate; evidence sighted; documented. This is the baseline and, where the control maps to the Essential Eight, roughly ML1.</w:t>
            </w:r>
          </w:p>
        </w:tc>
      </w:tr>
      <w:tr>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3</w:t>
            </w:r>
          </w:p>
        </w:tc>
        <w:tc>
          <w:tcPr>
            <w:tcW w:type="dxa" w:w="8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Optimised - exceeds baseline, monitored and alerted, reviewed on a cadence, documented and owned. Roughly ML2 where mapped - verify formally before claiming it.</w:t>
            </w:r>
          </w:p>
        </w:tc>
      </w:tr>
      <w:tr>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N/A</w:t>
            </w:r>
          </w:p>
        </w:tc>
        <w:tc>
          <w:tcPr>
            <w:tcW w:type="dxa" w:w="8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Not applicable to this client (no Azure, no on-prem AD, and so on). Excluded from percentages. Always say why.</w:t>
            </w:r>
          </w:p>
        </w:tc>
      </w:tr>
    </w:tbl>
    <w:p>
      <w:pPr>
        <w:spacing w:after="120" w:before="120"/>
      </w:pPr>
      <w:r>
        <w:rPr>
          <w:rFonts w:ascii="Arial" w:cs="Arial" w:eastAsia="Arial" w:hAnsi="Arial"/>
          <w:sz w:val="20"/>
          <w:szCs w:val="20"/>
        </w:rPr>
        <w:t xml:space="preserve">Target score defaults to 2 for every control. Raise it to 3 for tier-1 systems or regulated clients; lower it only with a written reason. A gap is any score below target. 'Score % of target' is the attained score (capped at target) divided by the target, over assessed controls only, so a client is not penalised for domains that do not apply.</w:t>
      </w:r>
    </w:p>
    <w:p>
      <w:pPr>
        <w:pStyle w:val="Heading3"/>
        <w:spacing w:after="80" w:before="200"/>
      </w:pPr>
      <w:r>
        <w:rPr>
          <w:rFonts w:ascii="Arial" w:cs="Arial" w:eastAsia="Arial" w:hAnsi="Arial"/>
          <w:b/>
          <w:bCs/>
          <w:color w:val="2F5496"/>
          <w:sz w:val="21"/>
          <w:szCs w:val="21"/>
        </w:rPr>
        <w:t xml:space="preserve">Priority (Risk x Effort)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79"/>
        <w:gridCol w:w="2679"/>
        <w:gridCol w:w="268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
            </w:r>
          </w:p>
        </w:tc>
        <w:tc>
          <w:tcPr>
            <w:tcW w:type="dxa" w:w="2679"/>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Effort S (under a day)</w:t>
            </w:r>
          </w:p>
        </w:tc>
        <w:tc>
          <w:tcPr>
            <w:tcW w:type="dxa" w:w="2679"/>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Effort M (days)</w:t>
            </w:r>
          </w:p>
        </w:tc>
        <w:tc>
          <w:tcPr>
            <w:tcW w:type="dxa" w:w="268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Effort L (project)</w:t>
            </w:r>
          </w:p>
        </w:tc>
      </w:tr>
      <w:tr>
        <w:tc>
          <w:tcPr>
            <w:tcW w:type="dxa" w:w="16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Risk H</w:t>
            </w:r>
          </w:p>
        </w:tc>
        <w:tc>
          <w:tcPr>
            <w:tcW w:type="dxa" w:w="267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P1 - quick win</w:t>
            </w:r>
          </w:p>
        </w:tc>
        <w:tc>
          <w:tcPr>
            <w:tcW w:type="dxa" w:w="267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P1</w:t>
            </w:r>
          </w:p>
        </w:tc>
        <w:tc>
          <w:tcPr>
            <w:tcW w:type="dxa" w:w="268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P2</w:t>
            </w:r>
          </w:p>
        </w:tc>
      </w:tr>
      <w:tr>
        <w:tc>
          <w:tcPr>
            <w:tcW w:type="dxa" w:w="16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Risk M</w:t>
            </w:r>
          </w:p>
        </w:tc>
        <w:tc>
          <w:tcPr>
            <w:tcW w:type="dxa" w:w="267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P2 - quick win</w:t>
            </w:r>
          </w:p>
        </w:tc>
        <w:tc>
          <w:tcPr>
            <w:tcW w:type="dxa" w:w="267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P2</w:t>
            </w:r>
          </w:p>
        </w:tc>
        <w:tc>
          <w:tcPr>
            <w:tcW w:type="dxa" w:w="268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P3</w:t>
            </w:r>
          </w:p>
        </w:tc>
      </w:tr>
      <w:tr>
        <w:tc>
          <w:tcPr>
            <w:tcW w:type="dxa" w:w="16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Risk L</w:t>
            </w:r>
          </w:p>
        </w:tc>
        <w:tc>
          <w:tcPr>
            <w:tcW w:type="dxa" w:w="267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P3</w:t>
            </w:r>
          </w:p>
        </w:tc>
        <w:tc>
          <w:tcPr>
            <w:tcW w:type="dxa" w:w="267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P3</w:t>
            </w:r>
          </w:p>
        </w:tc>
        <w:tc>
          <w:tcPr>
            <w:tcW w:type="dxa" w:w="268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P4</w:t>
            </w:r>
          </w:p>
        </w:tc>
      </w:tr>
    </w:tbl>
    <w:p>
      <w:pPr>
        <w:spacing w:after="120" w:before="120"/>
      </w:pPr>
      <w:r>
        <w:rPr>
          <w:rFonts w:ascii="Arial" w:cs="Arial" w:eastAsia="Arial" w:hAnsi="Arial"/>
          <w:sz w:val="20"/>
          <w:szCs w:val="20"/>
        </w:rPr>
        <w:t xml:space="preserve">Risk is judged in the client's context: an unpatched internet-facing server is High everywhere; a missing DLP policy is High for a health provider and Low for a manufacturer with no PII. Write the consequence sentence - if you cannot, the risk is not High.</w:t>
      </w:r>
    </w:p>
    <w:p>
      <w:pPr>
        <w:pStyle w:val="Heading3"/>
        <w:spacing w:after="80" w:before="200"/>
      </w:pPr>
      <w:r>
        <w:rPr>
          <w:rFonts w:ascii="Arial" w:cs="Arial" w:eastAsia="Arial" w:hAnsi="Arial"/>
          <w:b/>
          <w:bCs/>
          <w:color w:val="2F5496"/>
          <w:sz w:val="21"/>
          <w:szCs w:val="21"/>
        </w:rPr>
        <w:t xml:space="preserve">Tags - who pays and who 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438"/>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Tag</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Meaning</w:t>
            </w:r>
          </w:p>
        </w:tc>
        <w:tc>
          <w:tcPr>
            <w:tcW w:type="dxa" w:w="44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What happens next</w:t>
            </w:r>
          </w:p>
        </w:tc>
      </w:tr>
      <w:tr>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BAU</w:t>
            </w:r>
          </w:p>
        </w:tc>
        <w:tc>
          <w:tcPr>
            <w:tcW w:type="dxa" w:w="3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bA should already be doing this under the BAMS contract. A BAU gap is a service-delivery issue.</w:t>
            </w:r>
          </w:p>
        </w:tc>
        <w:tc>
          <w:tcPr>
            <w:tcW w:type="dxa" w:w="4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Fix it. SNOW ticket or Catalogue Task to the owning team (Monitoring, Backup, ISC). Never present a BAU gap to the client as an upsell.</w:t>
            </w:r>
          </w:p>
        </w:tc>
      </w:tr>
      <w:tr>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Billable</w:t>
            </w:r>
          </w:p>
        </w:tc>
        <w:tc>
          <w:tcPr>
            <w:tcW w:type="dxa" w:w="3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Outside BAMS scope; remediation is project or T&amp;M work.</w:t>
            </w:r>
          </w:p>
        </w:tc>
        <w:tc>
          <w:tcPr>
            <w:tcW w:type="dxa" w:w="4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eFO lead via the SDM; scope note in OPPORTUNITIES.md with the business consequence. Handbook: agreed remediation from technology reports is billable.</w:t>
            </w:r>
          </w:p>
        </w:tc>
      </w:tr>
      <w:tr>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Value-add</w:t>
            </w:r>
          </w:p>
        </w:tc>
        <w:tc>
          <w:tcPr>
            <w:tcW w:type="dxa" w:w="3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Advice or a small fix that belongs inside the relationship.</w:t>
            </w:r>
          </w:p>
        </w:tc>
        <w:tc>
          <w:tcPr>
            <w:tcW w:type="dxa" w:w="4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Do it or advise it; log the time in the Proactive subtask; mention it in the report under 'what we did'.</w:t>
            </w:r>
          </w:p>
        </w:tc>
      </w:tr>
      <w:tr>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Client-owned</w:t>
            </w:r>
          </w:p>
        </w:tc>
        <w:tc>
          <w:tcPr>
            <w:tcW w:type="dxa" w:w="3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The client's decision or their vendor's job (policy, budget, third-party system).</w:t>
            </w:r>
          </w:p>
        </w:tc>
        <w:tc>
          <w:tcPr>
            <w:tcW w:type="dxa" w:w="4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Advise in writing, record the decision or the risk acceptance with a date.</w:t>
            </w:r>
          </w:p>
        </w:tc>
      </w:tr>
    </w:tbl>
    <w:p>
      <w:pPr>
        <w:pStyle w:val="Heading2"/>
        <w:spacing w:after="120" w:before="280"/>
      </w:pPr>
      <w:r>
        <w:rPr>
          <w:rFonts w:ascii="Arial" w:cs="Arial" w:eastAsia="Arial" w:hAnsi="Arial"/>
          <w:b/>
          <w:bCs/>
          <w:color w:val="1F3864"/>
          <w:sz w:val="24"/>
          <w:szCs w:val="24"/>
        </w:rPr>
        <w:t xml:space="preserve">A8. Essential Eight - how the roll-up works and what it is not</w:t>
      </w:r>
    </w:p>
    <w:p>
      <w:pPr>
        <w:spacing w:after="120" w:before="0"/>
      </w:pPr>
      <w:r>
        <w:rPr>
          <w:rFonts w:ascii="Arial" w:cs="Arial" w:eastAsia="Arial" w:hAnsi="Arial"/>
          <w:sz w:val="20"/>
          <w:szCs w:val="20"/>
        </w:rPr>
        <w:t xml:space="preserve">Controls that implement one of the eight mitigation strategies carry an E8 code (PA, PO, MFA, RAP, AC, MAC, UAH, RB). The Summary tab shows, per strategy, the weakest score among the mapped controls that were assessed. Maturity in the ASD model is a weakest-link measure - one unmet requirement holds the whole strategy at the lower level - so the roll-up uses the minimum, not the average.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Weakest mapped score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Reads as</w:t>
            </w:r>
          </w:p>
        </w:tc>
        <w:tc>
          <w:tcPr>
            <w:tcW w:type="dxa" w:w="56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Meaning</w:t>
            </w:r>
          </w:p>
        </w:tc>
      </w:tr>
      <w:tr>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0 or 1</w:t>
            </w:r>
          </w:p>
        </w:tc>
        <w:tc>
          <w:tcPr>
            <w:tcW w:type="dxa" w:w="1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Below ML1</w:t>
            </w:r>
          </w:p>
        </w:tc>
        <w:tc>
          <w:tcPr>
            <w:tcW w:type="dxa" w:w="5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At least one mapped control is absent or partial. Commodity tradecraft would likely succeed.</w:t>
            </w:r>
          </w:p>
        </w:tc>
      </w:tr>
      <w:tr>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2</w:t>
            </w:r>
          </w:p>
        </w:tc>
        <w:tc>
          <w:tcPr>
            <w:tcW w:type="dxa" w:w="1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~ML1</w:t>
            </w:r>
          </w:p>
        </w:tc>
        <w:tc>
          <w:tcPr>
            <w:tcW w:type="dxa" w:w="5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Every mapped control meets the baseline across scope. Equivalent in spirit to Maturity Level One; verify against the ML1 requirement list on the E8 Map tab before saying so to a client.</w:t>
            </w:r>
          </w:p>
        </w:tc>
      </w:tr>
      <w:tr>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3</w:t>
            </w:r>
          </w:p>
        </w:tc>
        <w:tc>
          <w:tcPr>
            <w:tcW w:type="dxa" w:w="1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~ML2 (verify)</w:t>
            </w:r>
          </w:p>
        </w:tc>
        <w:tc>
          <w:tcPr>
            <w:tcW w:type="dxa" w:w="5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Every mapped control is optimised. Only a formal assessment against the ML2 requirement list can confirm Maturity Level Two.</w:t>
            </w:r>
          </w:p>
        </w:tc>
      </w:tr>
    </w:tbl>
    <w:p>
      <w:pPr>
        <w:spacing w:after="120" w:before="120"/>
      </w:pPr>
      <w:r>
        <w:rPr>
          <w:rFonts w:ascii="Arial" w:cs="Arial" w:eastAsia="Arial" w:hAnsi="Arial"/>
          <w:sz w:val="20"/>
          <w:szCs w:val="20"/>
        </w:rPr>
        <w:t xml:space="preserve">Limits: this is an indicative position from an operational review, not an Essential Eight assessment under the ASD Assessment Process Guide. Say so in the report (section B4). The reference model is the Essential Eight Maturity Model last updated 27 November 2023 (cyber.gov.au), confirmed as the current revision on 5 September 2026; the E8 Map tab condenses the ML1 and ML2 requirements per strategy and lists which controls feed each one.</w:t>
      </w:r>
    </w:p>
    <w:p>
      <w:pPr>
        <w:pStyle w:val="Heading2"/>
        <w:spacing w:after="120" w:before="280"/>
      </w:pPr>
      <w:r>
        <w:rPr>
          <w:rFonts w:ascii="Arial" w:cs="Arial" w:eastAsia="Arial" w:hAnsi="Arial"/>
          <w:b/>
          <w:bCs/>
          <w:color w:val="1F3864"/>
          <w:sz w:val="24"/>
          <w:szCs w:val="24"/>
        </w:rPr>
        <w:t xml:space="preserve">A9. From findings to outcomes - filing rules</w:t>
      </w:r>
    </w:p>
    <w:p>
      <w:pPr>
        <w:spacing w:after="120" w:before="0"/>
      </w:pPr>
      <w:r>
        <w:rPr>
          <w:rFonts w:ascii="Arial" w:cs="Arial" w:eastAsia="Arial" w:hAnsi="Arial"/>
          <w:sz w:val="20"/>
          <w:szCs w:val="20"/>
        </w:rPr>
        <w:t xml:space="preserve">The review only earns its keep if every gap leaves the workbook and lands somewhere with an owner and a date. Use the 'Filed to' column and put the reference in 'Ref'.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38"/>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Finding type</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File to</w:t>
            </w:r>
          </w:p>
        </w:tc>
        <w:tc>
          <w:tcPr>
            <w:tcW w:type="dxa" w:w="40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What to write</w:t>
            </w:r>
          </w:p>
        </w:tc>
      </w:tr>
      <w:tr>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Gap with a business consequence (any tag)</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OPPORTUNITIES.md - pipeline row plus detail block</w:t>
            </w:r>
          </w:p>
        </w:tc>
        <w:tc>
          <w:tcPr>
            <w:tcW w:type="dxa" w:w="4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Consequence sentence, tag, effort, proposed path (RFC / lead / project), date raised. No consequence sentence yet: log it anyway, marked as needing one.</w:t>
            </w:r>
          </w:p>
        </w:tc>
      </w:tr>
      <w:tr>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Technical debt (known weakness we are living with)</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STACK.md - debt register</w:t>
            </w:r>
          </w:p>
        </w:tc>
        <w:tc>
          <w:tcPr>
            <w:tcW w:type="dxa" w:w="4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What, why it exists, risk, trigger to revisit.</w:t>
            </w:r>
          </w:p>
        </w:tc>
      </w:tr>
      <w:tr>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Claim you could not verify</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STACK.md - verification backlog</w:t>
            </w:r>
          </w:p>
        </w:tc>
        <w:tc>
          <w:tcPr>
            <w:tcW w:type="dxa" w:w="4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Claim, source tag, how to verify, by when.</w:t>
            </w:r>
          </w:p>
        </w:tc>
      </w:tr>
      <w:tr>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Recurring or resolved issue found via ticket trends</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PROBLEMS.md (+ SNOW problem record)</w:t>
            </w:r>
          </w:p>
        </w:tc>
        <w:tc>
          <w:tcPr>
            <w:tcW w:type="dxa" w:w="4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Generic, greppable signature line; root cause if known; Portfolio note if it could bite other clients.</w:t>
            </w:r>
          </w:p>
        </w:tc>
      </w:tr>
      <w:tr>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BAU gap (bA should already be doing it)</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SNOW ticket / Catalogue Task to the owning team</w:t>
            </w:r>
          </w:p>
        </w:tc>
        <w:tc>
          <w:tcPr>
            <w:tcW w:type="dxa" w:w="4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Ticket number in Ref; a COMMITMENTS row if you promised the client a date.</w:t>
            </w:r>
          </w:p>
        </w:tc>
      </w:tr>
      <w:tr>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Billable remediation</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eFO lead via the SDM</w:t>
            </w:r>
          </w:p>
        </w:tc>
        <w:tc>
          <w:tcPr>
            <w:tcW w:type="dxa" w:w="4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Lead number in Ref; OPPORTUNITIES.md carries the scope note.</w:t>
            </w:r>
          </w:p>
        </w:tc>
      </w:tr>
      <w:tr>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High risk</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Risk notified (SDM+CAM) - email or Teams, in writing, with a date</w:t>
            </w:r>
          </w:p>
        </w:tc>
        <w:tc>
          <w:tcPr>
            <w:tcW w:type="dxa" w:w="4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COMMITMENTS row for the follow-up; if the client declines, record 'Accepted by client' with who and when.</w:t>
            </w:r>
          </w:p>
        </w:tc>
      </w:tr>
      <w:tr>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Promise made in the process (yours or theirs)</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COMMITMENTS.md</w:t>
            </w:r>
          </w:p>
        </w:tc>
        <w:tc>
          <w:tcPr>
            <w:tcW w:type="dxa" w:w="4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Owner, date, chase-by date.</w:t>
            </w:r>
          </w:p>
        </w:tc>
      </w:tr>
    </w:tbl>
    <w:p>
      <w:pPr>
        <w:pStyle w:val="Heading3"/>
        <w:spacing w:after="80" w:before="200"/>
      </w:pPr>
      <w:r>
        <w:rPr>
          <w:rFonts w:ascii="Arial" w:cs="Arial" w:eastAsia="Arial" w:hAnsi="Arial"/>
          <w:b/>
          <w:bCs/>
          <w:color w:val="2F5496"/>
          <w:sz w:val="21"/>
          <w:szCs w:val="21"/>
        </w:rPr>
        <w:t xml:space="preserve">The Top-3 conversation</w:t>
      </w:r>
    </w:p>
    <w:p>
      <w:pPr>
        <w:spacing w:after="120" w:before="0"/>
      </w:pPr>
      <w:r>
        <w:rPr>
          <w:rFonts w:ascii="Arial" w:cs="Arial" w:eastAsia="Arial" w:hAnsi="Arial"/>
          <w:sz w:val="20"/>
          <w:szCs w:val="20"/>
        </w:rPr>
        <w:t xml:space="preserve">Pick three, not ten. One should be a quick win you can show progress on within the quarter; one should be the highest-consequence risk; the third is usually the item that needs budget and therefore needs to be seeded now (see LIC-06 for the client's budget window). Each one is presented as: what we found, what it means for the business, what we recommend, what it costs in effort and money, and what we need from the client. Everything else lives in the appendix table and the roadmap.</w:t>
      </w:r>
    </w:p>
    <w:p>
      <w:pPr>
        <w:pStyle w:val="Heading3"/>
        <w:spacing w:after="80" w:before="200"/>
      </w:pPr>
      <w:r>
        <w:rPr>
          <w:rFonts w:ascii="Arial" w:cs="Arial" w:eastAsia="Arial" w:hAnsi="Arial"/>
          <w:b/>
          <w:bCs/>
          <w:color w:val="2F5496"/>
          <w:sz w:val="21"/>
          <w:szCs w:val="21"/>
        </w:rPr>
        <w:t xml:space="preserve">BAU versus billable - the judgement</w:t>
      </w:r>
    </w:p>
    <w:p>
      <w:pPr>
        <w:pStyle w:val="ListParagraph"/>
        <w:numPr>
          <w:ilvl w:val="0"/>
          <w:numId w:val="4"/>
        </w:numPr>
        <w:spacing w:after="60"/>
      </w:pPr>
      <w:r>
        <w:rPr>
          <w:rFonts w:ascii="Arial" w:cs="Arial" w:eastAsia="Arial" w:hAnsi="Arial"/>
          <w:sz w:val="20"/>
          <w:szCs w:val="20"/>
        </w:rPr>
        <w:t xml:space="preserve">If the SoW or BAMS schedule names it (monitoring, patching, backup of listed items, AV), a gap is BAU. Fix it quietly and tell the SDM.</w:t>
      </w:r>
    </w:p>
    <w:p>
      <w:pPr>
        <w:pStyle w:val="ListParagraph"/>
        <w:numPr>
          <w:ilvl w:val="0"/>
          <w:numId w:val="4"/>
        </w:numPr>
        <w:spacing w:after="60"/>
      </w:pPr>
      <w:r>
        <w:rPr>
          <w:rFonts w:ascii="Arial" w:cs="Arial" w:eastAsia="Arial" w:hAnsi="Arial"/>
          <w:sz w:val="20"/>
          <w:szCs w:val="20"/>
        </w:rPr>
        <w:t xml:space="preserve">If it needs design, change windows across many systems, licences the client does not own, or more than about two days, it is a project - billable.</w:t>
      </w:r>
    </w:p>
    <w:p>
      <w:pPr>
        <w:pStyle w:val="ListParagraph"/>
        <w:numPr>
          <w:ilvl w:val="0"/>
          <w:numId w:val="4"/>
        </w:numPr>
        <w:spacing w:after="60"/>
      </w:pPr>
      <w:r>
        <w:rPr>
          <w:rFonts w:ascii="Arial" w:cs="Arial" w:eastAsia="Arial" w:hAnsi="Arial"/>
          <w:sz w:val="20"/>
          <w:szCs w:val="20"/>
        </w:rPr>
        <w:t xml:space="preserve">If it is a setting change with low blast radius that any competent engineer would do while in there, it is value-add. Do it under an RFC where needed and say so in the report.</w:t>
      </w:r>
    </w:p>
    <w:p>
      <w:pPr>
        <w:pStyle w:val="ListParagraph"/>
        <w:numPr>
          <w:ilvl w:val="0"/>
          <w:numId w:val="4"/>
        </w:numPr>
        <w:spacing w:after="60"/>
      </w:pPr>
      <w:r>
        <w:rPr>
          <w:rFonts w:ascii="Arial" w:cs="Arial" w:eastAsia="Arial" w:hAnsi="Arial"/>
          <w:sz w:val="20"/>
          <w:szCs w:val="20"/>
        </w:rPr>
        <w:t xml:space="preserve">When in doubt, ask the SDM before the client hears about it. The handbook puts billable approval with the CAM/SDM.</w:t>
      </w:r>
    </w:p>
    <w:p>
      <w:pPr>
        <w:pStyle w:val="Heading2"/>
        <w:spacing w:after="120" w:before="280"/>
      </w:pPr>
      <w:r>
        <w:rPr>
          <w:rFonts w:ascii="Arial" w:cs="Arial" w:eastAsia="Arial" w:hAnsi="Arial"/>
          <w:b/>
          <w:bCs/>
          <w:color w:val="1F3864"/>
          <w:sz w:val="24"/>
          <w:szCs w:val="24"/>
        </w:rPr>
        <w:t xml:space="preserve">A10. Portfolio pattern hunt</w:t>
      </w:r>
    </w:p>
    <w:p>
      <w:pPr>
        <w:spacing w:after="120" w:before="0"/>
      </w:pPr>
      <w:r>
        <w:rPr>
          <w:rFonts w:ascii="Arial" w:cs="Arial" w:eastAsia="Arial" w:hAnsi="Arial"/>
          <w:sz w:val="20"/>
          <w:szCs w:val="20"/>
        </w:rPr>
        <w:t xml:space="preserve">Keep one master workbook for the portfolio. After each client review, paste the Summary export strip (domain percentages) into the client's column of the Portfolio tab, and the Checklist GapFlag column into the pattern-hunt section. The sheet counts how many clients share each gap. A gap at three or more clients is not a client problem - it is a service offering, a standard, or a process fix. Raise those with the Head of PE and Presales, and record them as portfolio-wide themes in _INDEX.md. Typical first-round themes: immutable backups, application control, phishing-resistant MFA for admins, Server 2016 migration (EoS 12 Jan 2027), SQL 2016 already out of support, SSL-VPN tunnel mode replacement (removed in FortiOS 7.6.3), certificate automation ahead of the 47-day TLS lifetime, and documentation currency.</w:t>
      </w:r>
    </w:p>
    <w:p>
      <w:pPr>
        <w:pStyle w:val="Heading2"/>
        <w:spacing w:after="120" w:before="280"/>
      </w:pPr>
      <w:r>
        <w:rPr>
          <w:rFonts w:ascii="Arial" w:cs="Arial" w:eastAsia="Arial" w:hAnsi="Arial"/>
          <w:b/>
          <w:bCs/>
          <w:color w:val="1F3864"/>
          <w:sz w:val="24"/>
          <w:szCs w:val="24"/>
        </w:rPr>
        <w:t xml:space="preserve">A11. Time, billing and handling of client data</w:t>
      </w:r>
    </w:p>
    <w:p>
      <w:pPr>
        <w:pStyle w:val="ListParagraph"/>
        <w:numPr>
          <w:ilvl w:val="0"/>
          <w:numId w:val="4"/>
        </w:numPr>
        <w:spacing w:after="60"/>
      </w:pPr>
      <w:r>
        <w:rPr>
          <w:rFonts w:ascii="Arial" w:cs="Arial" w:eastAsia="Arial" w:hAnsi="Arial"/>
          <w:sz w:val="20"/>
          <w:szCs w:val="20"/>
        </w:rPr>
        <w:t xml:space="preserve">Review time: customer Proactive / Admin task per the handbook. Remediation that the client agrees to is billable and goes to its own ticket, RFC or project.</w:t>
      </w:r>
    </w:p>
    <w:p>
      <w:pPr>
        <w:pStyle w:val="ListParagraph"/>
        <w:numPr>
          <w:ilvl w:val="0"/>
          <w:numId w:val="4"/>
        </w:numPr>
        <w:spacing w:after="60"/>
      </w:pPr>
      <w:r>
        <w:rPr>
          <w:rFonts w:ascii="Arial" w:cs="Arial" w:eastAsia="Arial" w:hAnsi="Arial"/>
          <w:sz w:val="20"/>
          <w:szCs w:val="20"/>
        </w:rPr>
        <w:t xml:space="preserve">The workbook holds real client identifiers by design (it is a working tool). Keep it local. Anything pasted into shared tools or AI assistants goes through the client's sanitiser map first; flow files under portfolio/ stay sanitised.</w:t>
      </w:r>
    </w:p>
    <w:p>
      <w:pPr>
        <w:pStyle w:val="ListParagraph"/>
        <w:numPr>
          <w:ilvl w:val="0"/>
          <w:numId w:val="4"/>
        </w:numPr>
        <w:spacing w:after="60"/>
      </w:pPr>
      <w:r>
        <w:rPr>
          <w:rFonts w:ascii="Arial" w:cs="Arial" w:eastAsia="Arial" w:hAnsi="Arial"/>
          <w:sz w:val="20"/>
          <w:szCs w:val="20"/>
        </w:rPr>
        <w:t xml:space="preserve">SNOW remains the system of record. The workbook and flow files hold pointers (INC / RITM / CHG / LEAD numbers), not mirrored ticket content.</w:t>
      </w:r>
    </w:p>
    <w:p>
      <w:pPr>
        <w:pStyle w:val="ListParagraph"/>
        <w:numPr>
          <w:ilvl w:val="0"/>
          <w:numId w:val="4"/>
        </w:numPr>
        <w:spacing w:after="60"/>
      </w:pPr>
      <w:r>
        <w:rPr>
          <w:rFonts w:ascii="Arial" w:cs="Arial" w:eastAsia="Arial" w:hAnsi="Arial"/>
          <w:sz w:val="20"/>
          <w:szCs w:val="20"/>
        </w:rPr>
        <w:t xml:space="preserve">Never state a lifecycle date, licensing rule or portal path in a client report from memory. Verify against Microsoft Lifecycle or the vendor page on the day, and cite it in Appendix A.</w:t>
      </w:r>
    </w:p>
    <w:p>
      <w:pPr>
        <w:pStyle w:val="Heading2"/>
        <w:spacing w:after="120" w:before="280"/>
      </w:pPr>
      <w:r>
        <w:rPr>
          <w:rFonts w:ascii="Arial" w:cs="Arial" w:eastAsia="Arial" w:hAnsi="Arial"/>
          <w:b/>
          <w:bCs/>
          <w:color w:val="1F3864"/>
          <w:sz w:val="24"/>
          <w:szCs w:val="24"/>
        </w:rPr>
        <w:t xml:space="preserve">A12. Companion workbook - tab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63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Tab</w:t>
            </w:r>
          </w:p>
        </w:tc>
        <w:tc>
          <w:tcPr>
            <w:tcW w:type="dxa" w:w="4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Purpose</w:t>
            </w:r>
          </w:p>
        </w:tc>
        <w:tc>
          <w:tcPr>
            <w:tcW w:type="dxa" w:w="36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You edit</w:t>
            </w:r>
          </w:p>
        </w:tc>
      </w:tr>
      <w:tr>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README</w:t>
            </w:r>
          </w:p>
        </w:tc>
        <w:tc>
          <w:tcPr>
            <w:tcW w:type="dxa" w:w="4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How to use, rubric, tags, legend, version log</w:t>
            </w:r>
          </w:p>
        </w:tc>
        <w:tc>
          <w:tcPr>
            <w:tcW w:type="dxa" w:w="3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Nothing</w:t>
            </w:r>
          </w:p>
        </w:tc>
      </w:tr>
      <w:tr>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Client</w:t>
            </w:r>
          </w:p>
        </w:tc>
        <w:tc>
          <w:tcPr>
            <w:tcW w:type="dxa" w:w="4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Client and review details, domain scope, evidence checklist</w:t>
            </w:r>
          </w:p>
        </w:tc>
        <w:tc>
          <w:tcPr>
            <w:tcW w:type="dxa" w:w="3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Yellow cells</w:t>
            </w:r>
          </w:p>
        </w:tc>
      </w:tr>
      <w:tr>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Checklist</w:t>
            </w:r>
          </w:p>
        </w:tc>
        <w:tc>
          <w:tcPr>
            <w:tcW w:type="dxa" w:w="4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The 125 controls with evidence pointers; scoring and filing columns</w:t>
            </w:r>
          </w:p>
        </w:tc>
        <w:tc>
          <w:tcPr>
            <w:tcW w:type="dxa" w:w="3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Score, Risk, Effort, Tag, Current state, Recommendation, Owner, Filed to, Ref, Source tag, Last reviewed, Target score</w:t>
            </w:r>
          </w:p>
        </w:tc>
      </w:tr>
      <w:tr>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Summary</w:t>
            </w:r>
          </w:p>
        </w:tc>
        <w:tc>
          <w:tcPr>
            <w:tcW w:type="dxa" w:w="4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Domain scorecard, gap mix, Essential Eight indicative maturity, export strip</w:t>
            </w:r>
          </w:p>
        </w:tc>
        <w:tc>
          <w:tcPr>
            <w:tcW w:type="dxa" w:w="3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Nothing - all formulas</w:t>
            </w:r>
          </w:p>
        </w:tc>
      </w:tr>
      <w:tr>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Findings</w:t>
            </w:r>
          </w:p>
        </w:tc>
        <w:tc>
          <w:tcPr>
            <w:tcW w:type="dxa" w:w="4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Top 20 gaps ranked; Top-3 for the quarter; what is working well</w:t>
            </w:r>
          </w:p>
        </w:tc>
        <w:tc>
          <w:tcPr>
            <w:tcW w:type="dxa" w:w="3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Top-3 IDs and consequence text; 'working well' lines</w:t>
            </w:r>
          </w:p>
        </w:tc>
      </w:tr>
      <w:tr>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Roadmap</w:t>
            </w:r>
          </w:p>
        </w:tc>
        <w:tc>
          <w:tcPr>
            <w:tcW w:type="dxa" w:w="4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30 / 90 / 180-day plan keyed by control ID</w:t>
            </w:r>
          </w:p>
        </w:tc>
        <w:tc>
          <w:tcPr>
            <w:tcW w:type="dxa" w:w="3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Horizon, ID, owner, dates, status, refs</w:t>
            </w:r>
          </w:p>
        </w:tc>
      </w:tr>
      <w:tr>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Portfolio</w:t>
            </w:r>
          </w:p>
        </w:tc>
        <w:tc>
          <w:tcPr>
            <w:tcW w:type="dxa" w:w="4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Cross-client heatmap and pattern hunt (master copy only)</w:t>
            </w:r>
          </w:p>
        </w:tc>
        <w:tc>
          <w:tcPr>
            <w:tcW w:type="dxa" w:w="3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Client codes, pasted values, theme notes</w:t>
            </w:r>
          </w:p>
        </w:tc>
      </w:tr>
      <w:tr>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E8 Map</w:t>
            </w:r>
          </w:p>
        </w:tc>
        <w:tc>
          <w:tcPr>
            <w:tcW w:type="dxa" w:w="4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ML1 / ML2 requirement summaries per strategy, mapped controls, evidencing tools</w:t>
            </w:r>
          </w:p>
        </w:tc>
        <w:tc>
          <w:tcPr>
            <w:tcW w:type="dxa" w:w="3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Nothing</w:t>
            </w:r>
          </w:p>
        </w:tc>
      </w:tr>
      <w:tr>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Lists</w:t>
            </w:r>
          </w:p>
        </w:tc>
        <w:tc>
          <w:tcPr>
            <w:tcW w:type="dxa" w:w="4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Dropdown values, priority matrix, RAG thresholds</w:t>
            </w:r>
          </w:p>
        </w:tc>
        <w:tc>
          <w:tcPr>
            <w:tcW w:type="dxa" w:w="3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Only the RAG thresholds, if the team agrees to change them</w:t>
            </w:r>
          </w:p>
        </w:tc>
      </w:tr>
    </w:tbl>
    <w:p>
      <w:r>
        <w:br w:type="page"/>
      </w:r>
    </w:p>
    <w:p>
      <w:pPr>
        <w:pStyle w:val="Heading1"/>
        <w:spacing w:after="160" w:before="360"/>
      </w:pPr>
      <w:r>
        <w:rPr>
          <w:rFonts w:ascii="Arial" w:cs="Arial" w:eastAsia="Arial" w:hAnsi="Arial"/>
          <w:b/>
          <w:bCs/>
          <w:color w:val="1F3864"/>
          <w:sz w:val="30"/>
          <w:szCs w:val="30"/>
        </w:rPr>
        <w:t xml:space="preserve">Part B - Report template (client-ready)</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Copy from here to the end into a new document for each client. Replace every [red placeholder]. Delete every grey guidance paragraph. Australian English. Keep the executive summary to one page; a client who reads nothing else should still know the three things that matter and what they cost.</w:t>
      </w:r>
    </w:p>
    <w:p>
      <w:pPr>
        <w:spacing w:after="120" w:before="600"/>
      </w:pPr>
      <w:r>
        <w:rPr>
          <w:rFonts w:ascii="Arial" w:cs="Arial" w:eastAsia="Arial" w:hAnsi="Arial"/>
          <w:b/>
          <w:bCs/>
          <w:color w:val="C00000"/>
          <w:sz w:val="40"/>
          <w:szCs w:val="40"/>
        </w:rPr>
        <w:t xml:space="preserve">[Client name]</w:t>
      </w:r>
    </w:p>
    <w:p>
      <w:pPr>
        <w:spacing w:after="80" w:before="0"/>
      </w:pPr>
      <w:r>
        <w:rPr>
          <w:rFonts w:ascii="Arial" w:cs="Arial" w:eastAsia="Arial" w:hAnsi="Arial"/>
          <w:color w:val="1F3864"/>
          <w:sz w:val="30"/>
          <w:szCs w:val="30"/>
        </w:rPr>
        <w:t xml:space="preserve">Technology Environment Review</w:t>
      </w:r>
    </w:p>
    <w:p>
      <w:pPr>
        <w:spacing w:after="400" w:before="0"/>
      </w:pPr>
      <w:r>
        <w:rPr>
          <w:rFonts w:ascii="Arial" w:cs="Arial" w:eastAsia="Arial" w:hAnsi="Arial"/>
          <w:color w:val="C00000"/>
          <w:sz w:val="22"/>
          <w:szCs w:val="22"/>
        </w:rPr>
        <w:t xml:space="preserve">[Quarter / Year]  |  [Baseline / Quarterly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Prepared for</w:t>
            </w:r>
          </w:p>
        </w:tc>
        <w:tc>
          <w:tcPr>
            <w:tcW w:type="dxa" w:w="7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[Client contact name, title]</w:t>
            </w:r>
          </w:p>
        </w:tc>
      </w:tr>
      <w:tr>
        <w:tc>
          <w:tcPr>
            <w:tcW w:type="dxa" w:w="26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Prepared by</w:t>
            </w:r>
          </w:p>
        </w:tc>
        <w:tc>
          <w:tcPr>
            <w:tcW w:type="dxa" w:w="7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Bikash Shrestha, Senior Portfolio Engineer, blueAPACHE</w:t>
            </w:r>
          </w:p>
        </w:tc>
      </w:tr>
      <w:tr>
        <w:tc>
          <w:tcPr>
            <w:tcW w:type="dxa" w:w="26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Service Delivery Manager</w:t>
            </w:r>
          </w:p>
        </w:tc>
        <w:tc>
          <w:tcPr>
            <w:tcW w:type="dxa" w:w="7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[SDM name]</w:t>
            </w:r>
          </w:p>
        </w:tc>
      </w:tr>
      <w:tr>
        <w:tc>
          <w:tcPr>
            <w:tcW w:type="dxa" w:w="26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Review period</w:t>
            </w:r>
          </w:p>
        </w:tc>
        <w:tc>
          <w:tcPr>
            <w:tcW w:type="dxa" w:w="7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[dd/mm/yyyy - dd/mm/yyyy]</w:t>
            </w:r>
          </w:p>
        </w:tc>
      </w:tr>
      <w:tr>
        <w:tc>
          <w:tcPr>
            <w:tcW w:type="dxa" w:w="26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Document version / date</w:t>
            </w:r>
          </w:p>
        </w:tc>
        <w:tc>
          <w:tcPr>
            <w:tcW w:type="dxa" w:w="7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[v0.1 draft - dd/mm/yyyy]</w:t>
            </w:r>
          </w:p>
        </w:tc>
      </w:tr>
      <w:tr>
        <w:tc>
          <w:tcPr>
            <w:tcW w:type="dxa" w:w="26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Classification</w:t>
            </w:r>
          </w:p>
        </w:tc>
        <w:tc>
          <w:tcPr>
            <w:tcW w:type="dxa" w:w="7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Confidential - prepared for [Client name]</w:t>
            </w:r>
          </w:p>
        </w:tc>
      </w:tr>
    </w:tbl>
    <w:p>
      <w:pPr>
        <w:spacing w:after="60" w:before="0"/>
      </w:pPr>
      <w:r>
        <w:rPr>
          <w:rFonts w:ascii="Arial" w:cs="Arial" w:eastAsia="Arial" w:hAnsi="Arial"/>
          <w:sz w:val="20"/>
          <w:szCs w:val="20"/>
        </w:rPr>
        <w:t xml:space="preserve"/>
      </w:r>
    </w:p>
    <w:p>
      <w:pPr>
        <w:spacing w:after="120" w:before="200"/>
      </w:pPr>
      <w:r>
        <w:rPr>
          <w:rFonts w:ascii="Arial" w:cs="Arial" w:eastAsia="Arial" w:hAnsi="Arial"/>
          <w:b/>
          <w:bCs/>
          <w:color w:val="1F3864"/>
          <w:sz w:val="20"/>
          <w:szCs w:val="20"/>
        </w:rP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438"/>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Version</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Date</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Author</w:t>
            </w:r>
          </w:p>
        </w:tc>
        <w:tc>
          <w:tcPr>
            <w:tcW w:type="dxa" w:w="44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Change</w:t>
            </w:r>
          </w:p>
        </w:tc>
      </w:tr>
      <w:tr>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0.1</w:t>
            </w:r>
          </w:p>
        </w:tc>
        <w:tc>
          <w:tcPr>
            <w:tcW w:type="dxa" w:w="1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[date]</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 Shrestha</w:t>
            </w:r>
          </w:p>
        </w:tc>
        <w:tc>
          <w:tcPr>
            <w:tcW w:type="dxa" w:w="4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Internal draft</w:t>
            </w:r>
          </w:p>
        </w:tc>
      </w:tr>
      <w:tr>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0.2</w:t>
            </w:r>
          </w:p>
        </w:tc>
        <w:tc>
          <w:tcPr>
            <w:tcW w:type="dxa" w:w="1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[date]</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 Shrestha</w:t>
            </w:r>
          </w:p>
        </w:tc>
        <w:tc>
          <w:tcPr>
            <w:tcW w:type="dxa" w:w="4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SDM review incorporated</w:t>
            </w:r>
          </w:p>
        </w:tc>
      </w:tr>
      <w:tr>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1.0</w:t>
            </w:r>
          </w:p>
        </w:tc>
        <w:tc>
          <w:tcPr>
            <w:tcW w:type="dxa" w:w="1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[date]</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 Shrestha</w:t>
            </w:r>
          </w:p>
        </w:tc>
        <w:tc>
          <w:tcPr>
            <w:tcW w:type="dxa" w:w="4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Issued to client</w:t>
            </w:r>
          </w:p>
        </w:tc>
      </w:tr>
    </w:tbl>
    <w:p>
      <w:r>
        <w:br w:type="page"/>
      </w:r>
    </w:p>
    <w:p>
      <w:pPr>
        <w:pStyle w:val="Heading2"/>
        <w:spacing w:after="120" w:before="280"/>
      </w:pPr>
      <w:r>
        <w:rPr>
          <w:rFonts w:ascii="Arial" w:cs="Arial" w:eastAsia="Arial" w:hAnsi="Arial"/>
          <w:b/>
          <w:bCs/>
          <w:color w:val="1F3864"/>
          <w:sz w:val="24"/>
          <w:szCs w:val="24"/>
        </w:rPr>
        <w:t xml:space="preserve">1. Executive summary</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Three short paragraphs and a table. Paragraph 1: overall posture in plain language - what is solid, what is exposed, one sentence on the Essential Eight position if a target exists. Paragraph 2: the three priorities and why now (consequence, not technology). Paragraph 3: what blueAPACHE has already done or will do under the existing service, so the client sees value before cost.</w:t>
      </w:r>
    </w:p>
    <w:p>
      <w:pPr>
        <w:spacing w:after="120" w:before="0"/>
      </w:pPr>
      <w:r>
        <w:rPr>
          <w:rFonts w:ascii="Arial" w:cs="Arial" w:eastAsia="Arial" w:hAnsi="Arial"/>
          <w:color w:val="C00000"/>
          <w:sz w:val="20"/>
          <w:szCs w:val="20"/>
        </w:rPr>
        <w:t xml:space="preserve">[Overall posture paragraph - e.g. 'Your Microsoft 365 and endpoint estate is well managed and patched to current standards. The main exposure is in backup resilience and privileged access: a ransomware event today would be recoverable, but slowly, and an attacker who obtained an administrator's credentials would meet few obstacles.']</w:t>
      </w:r>
    </w:p>
    <w:p>
      <w:pPr>
        <w:spacing w:after="120" w:before="0"/>
      </w:pPr>
      <w:r>
        <w:rPr>
          <w:rFonts w:ascii="Arial" w:cs="Arial" w:eastAsia="Arial" w:hAnsi="Arial"/>
          <w:color w:val="C00000"/>
          <w:sz w:val="20"/>
          <w:szCs w:val="20"/>
        </w:rPr>
        <w:t xml:space="preserve">[Priorities paragraph - name the three items from section 5 with their consequence and the decision needed from the client.]</w:t>
      </w:r>
    </w:p>
    <w:p>
      <w:pPr>
        <w:spacing w:after="120" w:before="0"/>
      </w:pPr>
      <w:r>
        <w:rPr>
          <w:rFonts w:ascii="Arial" w:cs="Arial" w:eastAsia="Arial" w:hAnsi="Arial"/>
          <w:color w:val="C00000"/>
          <w:sz w:val="20"/>
          <w:szCs w:val="20"/>
        </w:rPr>
        <w:t xml:space="preserve">[Value paragraph - what has been fixed under the existing service during this review and what will be done next quarter at no additional cost.]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400"/>
        <w:gridCol w:w="2338"/>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Priority</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What</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Why it matters</w:t>
            </w:r>
          </w:p>
        </w:tc>
        <w:tc>
          <w:tcPr>
            <w:tcW w:type="dxa" w:w="23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Investment</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1</w:t>
            </w:r>
          </w:p>
        </w:tc>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[Finding, one line]</w:t>
            </w:r>
          </w:p>
        </w:tc>
        <w:tc>
          <w:tcPr>
            <w:tcW w:type="dxa" w:w="34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[Business consequence, one line]</w:t>
            </w:r>
          </w:p>
        </w:tc>
        <w:tc>
          <w:tcPr>
            <w:tcW w:type="dxa" w:w="23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[Included / Project - indicative effort or $]</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2</w:t>
            </w:r>
          </w:p>
        </w:tc>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[Finding, one line]</w:t>
            </w:r>
          </w:p>
        </w:tc>
        <w:tc>
          <w:tcPr>
            <w:tcW w:type="dxa" w:w="34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[Business consequence, one line]</w:t>
            </w:r>
          </w:p>
        </w:tc>
        <w:tc>
          <w:tcPr>
            <w:tcW w:type="dxa" w:w="23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[Included / Project - indicative effort or $]</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3</w:t>
            </w:r>
          </w:p>
        </w:tc>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[Finding, one line]</w:t>
            </w:r>
          </w:p>
        </w:tc>
        <w:tc>
          <w:tcPr>
            <w:tcW w:type="dxa" w:w="34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[Business consequence, one line]</w:t>
            </w:r>
          </w:p>
        </w:tc>
        <w:tc>
          <w:tcPr>
            <w:tcW w:type="dxa" w:w="23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[Included / Project - indicative effort or $]</w:t>
            </w:r>
          </w:p>
        </w:tc>
      </w:tr>
    </w:tbl>
    <w:p>
      <w:pPr>
        <w:pStyle w:val="Heading2"/>
        <w:spacing w:after="120" w:before="280"/>
      </w:pPr>
      <w:r>
        <w:rPr>
          <w:rFonts w:ascii="Arial" w:cs="Arial" w:eastAsia="Arial" w:hAnsi="Arial"/>
          <w:b/>
          <w:bCs/>
          <w:color w:val="1F3864"/>
          <w:sz w:val="24"/>
          <w:szCs w:val="24"/>
        </w:rPr>
        <w:t xml:space="preserve">2. Scope and approach</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Keep to half a page. State what was in and out of scope (domains marked N/A), that the review used blueAPACHE monitoring, patching, backup and security tooling plus read-only access to the Microsoft tenant, and the period. Note limitations honestly - anything scored from the client's statements rather than evidence.</w:t>
      </w:r>
    </w:p>
    <w:p>
      <w:pPr>
        <w:spacing w:after="120" w:before="0"/>
      </w:pPr>
      <w:r>
        <w:rPr>
          <w:rFonts w:ascii="Arial" w:cs="Arial" w:eastAsia="Arial" w:hAnsi="Arial"/>
          <w:sz w:val="20"/>
          <w:szCs w:val="20"/>
        </w:rPr>
        <w:t xml:space="preserve">This review assessed [Client name]'s technology environment across [N] domains - identity and access, Microsoft 365, endpoints, servers and virtualisation, network and firewall, backup and disaster recovery, service coverage, security programme, cloud, documentation, and lifecycle and licensing. Each of [N] controls was scored from 0 (absent) to 3 (optimised) against a baseline that reflects vendor best practice and, for security controls, the Australian Signals Directorate's Essential Eight Maturity Level One. Evidence was drawn from blueAPACHE's management platforms and [Client name]'s Microsoft 365 and Azure tenants between [dates].</w:t>
      </w:r>
    </w:p>
    <w:p>
      <w:pPr>
        <w:spacing w:after="120" w:before="0"/>
      </w:pPr>
      <w:r>
        <w:rPr>
          <w:rFonts w:ascii="Arial" w:cs="Arial" w:eastAsia="Arial" w:hAnsi="Arial"/>
          <w:color w:val="C00000"/>
          <w:sz w:val="20"/>
          <w:szCs w:val="20"/>
        </w:rPr>
        <w:t xml:space="preserve">[Out of scope: e.g. 'Azure (no subscription), on-premises Active Directory (cloud-only tenant).' Limitations: e.g. 'Physical security and UPS condition were reported by [Client] staff and not inspected.']</w:t>
      </w:r>
    </w:p>
    <w:p>
      <w:pPr>
        <w:pStyle w:val="Heading2"/>
        <w:spacing w:after="120" w:before="280"/>
      </w:pPr>
      <w:r>
        <w:rPr>
          <w:rFonts w:ascii="Arial" w:cs="Arial" w:eastAsia="Arial" w:hAnsi="Arial"/>
          <w:b/>
          <w:bCs/>
          <w:color w:val="1F3864"/>
          <w:sz w:val="24"/>
          <w:szCs w:val="24"/>
        </w:rPr>
        <w:t xml:space="preserve">3. Scorecard by domain</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Copy the numbers from the Summary tab. Headline is one sentence per domain - the thing the client should remember. RAG: Green 80% of target or better, Amber 50-79%, Red below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200"/>
        <w:gridCol w:w="900"/>
        <w:gridCol w:w="3738"/>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Domain</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Controls assessed</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Score % of target</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Status</w:t>
            </w:r>
          </w:p>
        </w:tc>
        <w:tc>
          <w:tcPr>
            <w:tcW w:type="dxa" w:w="37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Headline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Identity &amp; Access</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Microsoft 365 &amp; Email Security</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Endpoint</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Servers &amp; Virtualisation</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Network &amp; Firewall</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Backup &amp; DR</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Monitoring, Patching &amp; BAMS Coverage</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Security Programme &amp; Essential Eight</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Azure &amp; Cloud</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Documentation &amp; Operational Hygiene</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Lifecycle, Licensing &amp; Commercial</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Overall</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bl>
    <w:p>
      <w:pPr>
        <w:pStyle w:val="Heading2"/>
        <w:spacing w:after="120" w:before="280"/>
      </w:pPr>
      <w:r>
        <w:rPr>
          <w:rFonts w:ascii="Arial" w:cs="Arial" w:eastAsia="Arial" w:hAnsi="Arial"/>
          <w:b/>
          <w:bCs/>
          <w:color w:val="1F3864"/>
          <w:sz w:val="24"/>
          <w:szCs w:val="24"/>
        </w:rPr>
        <w:t xml:space="preserve">4. Essential Eight - indicative position</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From the Summary tab. Always include the caveat sentence. If no target maturity level has been agreed, say so and recommend one - for most mid-market organisations that is Maturity Level One across all eight, then Level Two for the strategies that matter most to their risk (typically MFA, backups and admin privileges).</w:t>
      </w:r>
    </w:p>
    <w:p>
      <w:pPr>
        <w:spacing w:after="120" w:before="0"/>
      </w:pPr>
      <w:r>
        <w:rPr>
          <w:rFonts w:ascii="Arial" w:cs="Arial" w:eastAsia="Arial" w:hAnsi="Arial"/>
          <w:sz w:val="20"/>
          <w:szCs w:val="20"/>
        </w:rPr>
        <w:t xml:space="preserve">The table below gives an indicative view of [Client name]'s position against the ASD Essential Eight, derived from the operational controls reviewed. It is not a formal Essential Eight assessment; where a formal position is required (for insurance, tender or regulatory purposes) an assessment against the ASD Essential Eight Assessment Process Guide is recommended.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200"/>
        <w:gridCol w:w="32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Mitigation strategy</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Indicative position</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Target</w:t>
            </w:r>
          </w:p>
        </w:tc>
        <w:tc>
          <w:tcPr>
            <w:tcW w:type="dxa" w:w="32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Main gap / comment</w:t>
            </w:r>
          </w:p>
        </w:tc>
      </w:tr>
      <w:tr>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Patch applications</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[Below ML1 / ~ML1 / ~ML2]</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[ML1 / ML2]</w:t>
            </w:r>
          </w:p>
        </w:tc>
        <w:tc>
          <w:tcPr>
            <w:tcW w:type="dxa" w:w="3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line]</w:t>
            </w:r>
          </w:p>
        </w:tc>
      </w:tr>
      <w:tr>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Patch operating systems</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[Below ML1 / ~ML1 / ~ML2]</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[ML1 / ML2]</w:t>
            </w:r>
          </w:p>
        </w:tc>
        <w:tc>
          <w:tcPr>
            <w:tcW w:type="dxa" w:w="3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line]</w:t>
            </w:r>
          </w:p>
        </w:tc>
      </w:tr>
      <w:tr>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Multi-factor authentication</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[Below ML1 / ~ML1 / ~ML2]</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[ML1 / ML2]</w:t>
            </w:r>
          </w:p>
        </w:tc>
        <w:tc>
          <w:tcPr>
            <w:tcW w:type="dxa" w:w="3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line]</w:t>
            </w:r>
          </w:p>
        </w:tc>
      </w:tr>
      <w:tr>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Restrict administrative privileges</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[Below ML1 / ~ML1 / ~ML2]</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[ML1 / ML2]</w:t>
            </w:r>
          </w:p>
        </w:tc>
        <w:tc>
          <w:tcPr>
            <w:tcW w:type="dxa" w:w="3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line]</w:t>
            </w:r>
          </w:p>
        </w:tc>
      </w:tr>
      <w:tr>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Application control</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[Below ML1 / ~ML1 / ~ML2]</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[ML1 / ML2]</w:t>
            </w:r>
          </w:p>
        </w:tc>
        <w:tc>
          <w:tcPr>
            <w:tcW w:type="dxa" w:w="3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line]</w:t>
            </w:r>
          </w:p>
        </w:tc>
      </w:tr>
      <w:tr>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Restrict Microsoft Office macros</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[Below ML1 / ~ML1 / ~ML2]</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[ML1 / ML2]</w:t>
            </w:r>
          </w:p>
        </w:tc>
        <w:tc>
          <w:tcPr>
            <w:tcW w:type="dxa" w:w="3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line]</w:t>
            </w:r>
          </w:p>
        </w:tc>
      </w:tr>
      <w:tr>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User application hardening</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[Below ML1 / ~ML1 / ~ML2]</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[ML1 / ML2]</w:t>
            </w:r>
          </w:p>
        </w:tc>
        <w:tc>
          <w:tcPr>
            <w:tcW w:type="dxa" w:w="3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line]</w:t>
            </w:r>
          </w:p>
        </w:tc>
      </w:tr>
      <w:tr>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Regular backups</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[Below ML1 / ~ML1 / ~ML2]</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[ML1 / ML2]</w:t>
            </w:r>
          </w:p>
        </w:tc>
        <w:tc>
          <w:tcPr>
            <w:tcW w:type="dxa" w:w="3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line]</w:t>
            </w:r>
          </w:p>
        </w:tc>
      </w:tr>
    </w:tbl>
    <w:p>
      <w:pPr>
        <w:pStyle w:val="Heading2"/>
        <w:spacing w:after="120" w:before="280"/>
      </w:pPr>
      <w:r>
        <w:rPr>
          <w:rFonts w:ascii="Arial" w:cs="Arial" w:eastAsia="Arial" w:hAnsi="Arial"/>
          <w:b/>
          <w:bCs/>
          <w:color w:val="1F3864"/>
          <w:sz w:val="24"/>
          <w:szCs w:val="24"/>
        </w:rPr>
        <w:t xml:space="preserve">5. Priorities for this quarter</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Three items, each in the same shape. Write the consequence for the business, not the technology. Effort in days and, where the SDM agrees, an indicative price or 'included in your service'. End each with the decision needed.</w:t>
      </w:r>
    </w:p>
    <w:p>
      <w:pPr>
        <w:pStyle w:val="Heading3"/>
        <w:spacing w:after="80" w:before="200"/>
      </w:pPr>
      <w:r>
        <w:rPr>
          <w:rFonts w:ascii="Arial" w:cs="Arial" w:eastAsia="Arial" w:hAnsi="Arial"/>
          <w:b/>
          <w:bCs/>
          <w:color w:val="2F5496"/>
          <w:sz w:val="21"/>
          <w:szCs w:val="21"/>
        </w:rPr>
        <w:t xml:space="preserve">Priority 1: [short title]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What we found</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[Evidence-based statement. Reference the control ID in brackets for traceability, e.g. (BDR-04).]</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Why it matters</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[Business consequence in one or two sentences - outage duration, data loss, regulatory or insurance exposure, cost.]</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Recommendation</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[What to do, in plain language.]</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Effort and investment</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[e.g. 2 days engineering - included in service / project quote to follow / licence cost $x per month]</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Timing</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[Within 30 / 90 / 180 days, and why that timing]</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Decision needed</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[Approve RFC / approve quote / provide access / accept risk]</w:t>
            </w:r>
          </w:p>
        </w:tc>
      </w:tr>
    </w:tbl>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2F5496"/>
          <w:sz w:val="21"/>
          <w:szCs w:val="21"/>
        </w:rPr>
        <w:t xml:space="preserve">Priority 2: [short title]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What we found</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[Evidence-based statement. Reference the control ID in brackets for traceability, e.g. (BDR-04).]</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Why it matters</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[Business consequence in one or two sentences - outage duration, data loss, regulatory or insurance exposure, cost.]</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Recommendation</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[What to do, in plain language.]</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Effort and investment</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[e.g. 2 days engineering - included in service / project quote to follow / licence cost $x per month]</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Timing</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[Within 30 / 90 / 180 days, and why that timing]</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Decision needed</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[Approve RFC / approve quote / provide access / accept risk]</w:t>
            </w:r>
          </w:p>
        </w:tc>
      </w:tr>
    </w:tbl>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2F5496"/>
          <w:sz w:val="21"/>
          <w:szCs w:val="21"/>
        </w:rPr>
        <w:t xml:space="preserve">Priority 3: [short title]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What we found</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[Evidence-based statement. Reference the control ID in brackets for traceability, e.g. (BDR-04).]</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Why it matters</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[Business consequence in one or two sentences - outage duration, data loss, regulatory or insurance exposure, cost.]</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Recommendation</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[What to do, in plain language.]</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Effort and investment</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[e.g. 2 days engineering - included in service / project quote to follow / licence cost $x per month]</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Timing</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[Within 30 / 90 / 180 days, and why that timing]</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Decision needed</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[Approve RFC / approve quote / provide access / accept risk]</w:t>
            </w:r>
          </w:p>
        </w:tc>
      </w:tr>
    </w:tbl>
    <w:p>
      <w:pPr>
        <w:spacing w:after="6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1F3864"/>
          <w:sz w:val="24"/>
          <w:szCs w:val="24"/>
        </w:rPr>
        <w:t xml:space="preserve">6. Findings by domain</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One table per domain that has findings, ordered by priority. Type: Service (BAU - blueAPACHE will fix under the current agreement), Project (proposal to follow), Advice (recommended, low effort, can be done with your approval), Client (your decision or your vendor). Omit domains with no findings and say so in one line. Do not list every control - the client does not need the 124-row view; that stays internal.</w:t>
      </w:r>
    </w:p>
    <w:p>
      <w:pPr>
        <w:pStyle w:val="Heading3"/>
        <w:spacing w:after="80" w:before="200"/>
      </w:pPr>
      <w:r>
        <w:rPr>
          <w:rFonts w:ascii="Arial" w:cs="Arial" w:eastAsia="Arial" w:hAnsi="Arial"/>
          <w:b/>
          <w:bCs/>
          <w:color w:val="2F5496"/>
          <w:sz w:val="21"/>
          <w:szCs w:val="21"/>
        </w:rPr>
        <w:t xml:space="preserve">[Domain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800"/>
        <w:gridCol w:w="2838"/>
        <w:gridCol w:w="1000"/>
        <w:gridCol w:w="10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Ref</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Finding</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Risk</w:t>
            </w:r>
          </w:p>
        </w:tc>
        <w:tc>
          <w:tcPr>
            <w:tcW w:type="dxa" w:w="28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Recommendation</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Owner</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Type</w:t>
            </w:r>
          </w:p>
        </w:tc>
      </w:tr>
      <w:tr>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[IAM-03]</w:t>
            </w:r>
          </w:p>
        </w:tc>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[Finding in one or two sentences]</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[High]</w:t>
            </w:r>
          </w:p>
        </w:tc>
        <w:tc>
          <w:tcPr>
            <w:tcW w:type="dxa" w:w="2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[Recommendation]</w:t>
            </w:r>
          </w:p>
        </w:tc>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[bA / Client]</w:t>
            </w:r>
          </w:p>
        </w:tc>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[Service / Project / Advice / Client]</w:t>
            </w:r>
          </w:p>
        </w:tc>
      </w:tr>
      <w:tr>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2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r>
    </w:tbl>
    <w:p>
      <w:pPr>
        <w:spacing w:after="120" w:before="80"/>
      </w:pPr>
      <w:r>
        <w:rPr>
          <w:rFonts w:ascii="Arial" w:cs="Arial" w:eastAsia="Arial" w:hAnsi="Arial"/>
          <w:i/>
          <w:iCs/>
          <w:color w:val="595959"/>
          <w:sz w:val="18"/>
          <w:szCs w:val="18"/>
        </w:rPr>
        <w:t xml:space="preserve">Repeat the heading and table for each domain with findings.</w:t>
      </w:r>
    </w:p>
    <w:p>
      <w:pPr>
        <w:pStyle w:val="Heading2"/>
        <w:spacing w:after="120" w:before="280"/>
      </w:pPr>
      <w:r>
        <w:rPr>
          <w:rFonts w:ascii="Arial" w:cs="Arial" w:eastAsia="Arial" w:hAnsi="Arial"/>
          <w:b/>
          <w:bCs/>
          <w:color w:val="1F3864"/>
          <w:sz w:val="24"/>
          <w:szCs w:val="24"/>
        </w:rPr>
        <w:t xml:space="preserve">7. What is working well</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Three to five specifics with evidence. This is not padding - it tells the client what not to spend money on and shows the review was balanced. Take them from controls scored 3, or 2 where the client has visibly invested.</w:t>
      </w:r>
    </w:p>
    <w:p>
      <w:pPr>
        <w:pStyle w:val="ListParagraph"/>
        <w:numPr>
          <w:ilvl w:val="0"/>
          <w:numId w:val="4"/>
        </w:numPr>
        <w:spacing w:after="60"/>
      </w:pPr>
      <w:r>
        <w:rPr>
          <w:rFonts w:ascii="Arial" w:cs="Arial" w:eastAsia="Arial" w:hAnsi="Arial"/>
          <w:sz w:val="20"/>
          <w:szCs w:val="20"/>
        </w:rPr>
        <w:t xml:space="preserve">[e.g. 'Endpoint patching: 97% of devices within 14 days of release over the last 90 days - ahead of the Essential Eight Level One benchmark (END-03).']</w:t>
      </w:r>
    </w:p>
    <w:p>
      <w:pPr>
        <w:pStyle w:val="ListParagraph"/>
        <w:numPr>
          <w:ilvl w:val="0"/>
          <w:numId w:val="4"/>
        </w:numPr>
        <w:spacing w:after="60"/>
      </w:pPr>
      <w:r>
        <w:rPr>
          <w:rFonts w:ascii="Arial" w:cs="Arial" w:eastAsia="Arial" w:hAnsi="Arial"/>
          <w:sz w:val="20"/>
          <w:szCs w:val="20"/>
        </w:rPr>
        <w:t xml:space="preserve">[...]</w:t>
      </w:r>
    </w:p>
    <w:p>
      <w:pPr>
        <w:pStyle w:val="ListParagraph"/>
        <w:numPr>
          <w:ilvl w:val="0"/>
          <w:numId w:val="4"/>
        </w:numPr>
        <w:spacing w:after="60"/>
      </w:pPr>
      <w:r>
        <w:rPr>
          <w:rFonts w:ascii="Arial" w:cs="Arial" w:eastAsia="Arial" w:hAnsi="Arial"/>
          <w:sz w:val="20"/>
          <w:szCs w:val="20"/>
        </w:rPr>
        <w:t xml:space="preserve">[...]</w:t>
      </w:r>
    </w:p>
    <w:p>
      <w:pPr>
        <w:pStyle w:val="Heading2"/>
        <w:spacing w:after="120" w:before="280"/>
      </w:pPr>
      <w:r>
        <w:rPr>
          <w:rFonts w:ascii="Arial" w:cs="Arial" w:eastAsia="Arial" w:hAnsi="Arial"/>
          <w:b/>
          <w:bCs/>
          <w:color w:val="1F3864"/>
          <w:sz w:val="24"/>
          <w:szCs w:val="24"/>
        </w:rPr>
        <w:t xml:space="preserve">8. Roadmap</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From the Roadmap tab. 30 days = quick wins and service fixes already under way; 90 days = changes that need an RFC or a small quote; 180 days = projects that need budget - align these to the client's budget cycle. Show ownership honestly: items marked Client need their 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900"/>
        <w:gridCol w:w="1000"/>
        <w:gridCol w:w="1100"/>
        <w:gridCol w:w="2338"/>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Horizon</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Item</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Ref</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Owner</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Type</w:t>
            </w:r>
          </w:p>
        </w:tc>
        <w:tc>
          <w:tcPr>
            <w:tcW w:type="dxa" w:w="23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Status / next step</w:t>
            </w:r>
          </w:p>
        </w:tc>
      </w:tr>
      <w:tr>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30 days</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[item]</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[ID]</w:t>
            </w:r>
          </w:p>
        </w:tc>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[bA]</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[Service]</w:t>
            </w:r>
          </w:p>
        </w:tc>
        <w:tc>
          <w:tcPr>
            <w:tcW w:type="dxa" w:w="23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[In progress - RFC CHG0xxxxx]</w:t>
            </w:r>
          </w:p>
        </w:tc>
      </w:tr>
      <w:tr>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30 days</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[item]</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[ID]</w:t>
            </w:r>
          </w:p>
        </w:tc>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[bA]</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[Advice]</w:t>
            </w:r>
          </w:p>
        </w:tc>
        <w:tc>
          <w:tcPr>
            <w:tcW w:type="dxa" w:w="23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[Awaiting approval]</w:t>
            </w:r>
          </w:p>
        </w:tc>
      </w:tr>
      <w:tr>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90 days</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[item]</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[ID]</w:t>
            </w:r>
          </w:p>
        </w:tc>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[bA]</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[Project]</w:t>
            </w:r>
          </w:p>
        </w:tc>
        <w:tc>
          <w:tcPr>
            <w:tcW w:type="dxa" w:w="23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[Quote to follow by dd/mm]</w:t>
            </w:r>
          </w:p>
        </w:tc>
      </w:tr>
      <w:tr>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90 days</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[item]</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[ID]</w:t>
            </w:r>
          </w:p>
        </w:tc>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[Client]</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[Client]</w:t>
            </w:r>
          </w:p>
        </w:tc>
        <w:tc>
          <w:tcPr>
            <w:tcW w:type="dxa" w:w="23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[Decision required]</w:t>
            </w:r>
          </w:p>
        </w:tc>
      </w:tr>
      <w:tr>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180 days</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[item]</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[ID]</w:t>
            </w:r>
          </w:p>
        </w:tc>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[bA]</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[Project]</w:t>
            </w:r>
          </w:p>
        </w:tc>
        <w:tc>
          <w:tcPr>
            <w:tcW w:type="dxa" w:w="23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[For FY budget - proposal by dd/mm]</w:t>
            </w:r>
          </w:p>
        </w:tc>
      </w:tr>
    </w:tbl>
    <w:p>
      <w:pPr>
        <w:pStyle w:val="Heading2"/>
        <w:spacing w:after="120" w:before="280"/>
      </w:pPr>
      <w:r>
        <w:rPr>
          <w:rFonts w:ascii="Arial" w:cs="Arial" w:eastAsia="Arial" w:hAnsi="Arial"/>
          <w:b/>
          <w:bCs/>
          <w:color w:val="1F3864"/>
          <w:sz w:val="24"/>
          <w:szCs w:val="24"/>
        </w:rPr>
        <w:t xml:space="preserve">9. Service coverage observations</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Internal by default. Use this section with the SDM to reconcile BAMS inclusions against what exists (COV-01 to COV-05, LIC-07): items managed but not billed, items billed but gone, agents missing, monitoring gaps, out-of-scope work being absorbed. Include a client-facing version only where the SDM agrees the client should see it - usually framed as 'changes to your service schedule we recommend', never as an internal 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800"/>
        <w:gridCol w:w="14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Observation</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Detail</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Proposed action</w:t>
            </w:r>
          </w:p>
        </w:tc>
        <w:tc>
          <w:tcPr>
            <w:tcW w:type="dxa" w:w="14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Owner</w:t>
            </w:r>
          </w:p>
        </w:tc>
      </w:tr>
      <w:tr>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[Unbilled managed items]</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[e.g. 3 servers monitored and patched, not on the BAMS schedule]</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[SDM to raise schedule amendment]</w:t>
            </w:r>
          </w:p>
        </w:tc>
        <w:tc>
          <w:tcPr>
            <w:tcW w:type="dxa" w:w="1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[SDM]</w:t>
            </w:r>
          </w:p>
        </w:tc>
      </w:tr>
      <w:tr>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[Coverage gap]</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[e.g. 2 servers not in backup job; 5 endpoints without EDR]</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[Catalogue Task raised - ref]</w:t>
            </w:r>
          </w:p>
        </w:tc>
        <w:tc>
          <w:tcPr>
            <w:tcW w:type="dxa" w:w="1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[bA]</w:t>
            </w:r>
          </w:p>
        </w:tc>
      </w:tr>
      <w:tr>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[Scope leakage]</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[e.g. recurring application support for [LoB app] absorbed as BAU, ~4 h/month]</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[Scope uplift proposal]</w:t>
            </w:r>
          </w:p>
        </w:tc>
        <w:tc>
          <w:tcPr>
            <w:tcW w:type="dxa" w:w="1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[SDM / CAM]</w:t>
            </w:r>
          </w:p>
        </w:tc>
      </w:tr>
    </w:tbl>
    <w:p>
      <w:pPr>
        <w:pStyle w:val="Heading2"/>
        <w:spacing w:after="120" w:before="280"/>
      </w:pPr>
      <w:r>
        <w:rPr>
          <w:rFonts w:ascii="Arial" w:cs="Arial" w:eastAsia="Arial" w:hAnsi="Arial"/>
          <w:b/>
          <w:bCs/>
          <w:color w:val="1F3864"/>
          <w:sz w:val="24"/>
          <w:szCs w:val="24"/>
        </w:rPr>
        <w:t xml:space="preserve">10. Risks requiring a decision</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Only risks the client must decide on - accept, fund, or defer. One row each. This table is what protects blueAPACHE if the client declines: it shows the risk was communicated, with options, on a date. Copy the decision back to OPPORTUNITIES.md / COMMITMENTS.md.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1100"/>
        <w:gridCol w:w="15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Risk</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Consequence if realised</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Options</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Recommended</w:t>
            </w:r>
          </w:p>
        </w:tc>
        <w:tc>
          <w:tcPr>
            <w:tcW w:type="dxa" w:w="15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Decision / owner / date</w:t>
            </w:r>
          </w:p>
        </w:tc>
      </w:tr>
      <w:tr>
        <w:tc>
          <w:tcPr>
            <w:tcW w:type="dxa" w:w="2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[e.g. Backups not immutable (BDR-04)]</w:t>
            </w:r>
          </w:p>
        </w:tc>
        <w:tc>
          <w:tcPr>
            <w:tcW w:type="dxa" w:w="24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[Ransomware could destroy backups; recovery from tape/none; multi-week outage]</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 immutable repository ~2 days; B: cloud copy with object lock $x/month; C: accept]</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w:t>
            </w:r>
          </w:p>
        </w:tc>
        <w:tc>
          <w:tcPr>
            <w:tcW w:type="dxa" w:w="15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 ]</w:t>
            </w:r>
          </w:p>
        </w:tc>
      </w:tr>
      <w:tr>
        <w:tc>
          <w:tcPr>
            <w:tcW w:type="dxa" w:w="2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15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 ]</w:t>
            </w:r>
          </w:p>
        </w:tc>
      </w:tr>
    </w:tbl>
    <w:p>
      <w:pPr>
        <w:pStyle w:val="Heading2"/>
        <w:spacing w:after="120" w:before="280"/>
      </w:pPr>
      <w:r>
        <w:rPr>
          <w:rFonts w:ascii="Arial" w:cs="Arial" w:eastAsia="Arial" w:hAnsi="Arial"/>
          <w:b/>
          <w:bCs/>
          <w:color w:val="1F3864"/>
          <w:sz w:val="24"/>
          <w:szCs w:val="24"/>
        </w:rPr>
        <w:t xml:space="preserve">11. Next steps and review cadence</w:t>
      </w:r>
    </w:p>
    <w:p>
      <w:pPr>
        <w:pStyle w:val="ListParagraph"/>
        <w:numPr>
          <w:ilvl w:val="0"/>
          <w:numId w:val="4"/>
        </w:numPr>
        <w:spacing w:after="60"/>
      </w:pPr>
      <w:r>
        <w:rPr>
          <w:rFonts w:ascii="Arial" w:cs="Arial" w:eastAsia="Arial" w:hAnsi="Arial"/>
          <w:sz w:val="20"/>
          <w:szCs w:val="20"/>
        </w:rPr>
        <w:t xml:space="preserve">[dd/mm] - Walk-through of this report with [client contact] and [SDM].</w:t>
      </w:r>
    </w:p>
    <w:p>
      <w:pPr>
        <w:pStyle w:val="ListParagraph"/>
        <w:numPr>
          <w:ilvl w:val="0"/>
          <w:numId w:val="4"/>
        </w:numPr>
        <w:spacing w:after="60"/>
      </w:pPr>
      <w:r>
        <w:rPr>
          <w:rFonts w:ascii="Arial" w:cs="Arial" w:eastAsia="Arial" w:hAnsi="Arial"/>
          <w:sz w:val="20"/>
          <w:szCs w:val="20"/>
        </w:rPr>
        <w:t xml:space="preserve">[dd/mm] - RFCs raised for the 30-day items; change windows agreed.</w:t>
      </w:r>
    </w:p>
    <w:p>
      <w:pPr>
        <w:pStyle w:val="ListParagraph"/>
        <w:numPr>
          <w:ilvl w:val="0"/>
          <w:numId w:val="4"/>
        </w:numPr>
        <w:spacing w:after="60"/>
      </w:pPr>
      <w:r>
        <w:rPr>
          <w:rFonts w:ascii="Arial" w:cs="Arial" w:eastAsia="Arial" w:hAnsi="Arial"/>
          <w:sz w:val="20"/>
          <w:szCs w:val="20"/>
        </w:rPr>
        <w:t xml:space="preserve">[dd/mm] - Proposals for Priority [n] issued.</w:t>
      </w:r>
    </w:p>
    <w:p>
      <w:pPr>
        <w:pStyle w:val="ListParagraph"/>
        <w:numPr>
          <w:ilvl w:val="0"/>
          <w:numId w:val="4"/>
        </w:numPr>
        <w:spacing w:after="60"/>
      </w:pPr>
      <w:r>
        <w:rPr>
          <w:rFonts w:ascii="Arial" w:cs="Arial" w:eastAsia="Arial" w:hAnsi="Arial"/>
          <w:sz w:val="20"/>
          <w:szCs w:val="20"/>
        </w:rPr>
        <w:t xml:space="preserve">[Quarter] - Next quarterly review; priorities re-scored and progress reported.</w:t>
      </w:r>
    </w:p>
    <w:p>
      <w:pPr>
        <w:pStyle w:val="Heading2"/>
        <w:spacing w:after="120" w:before="280"/>
      </w:pPr>
      <w:r>
        <w:rPr>
          <w:rFonts w:ascii="Arial" w:cs="Arial" w:eastAsia="Arial" w:hAnsi="Arial"/>
          <w:b/>
          <w:bCs/>
          <w:color w:val="1F3864"/>
          <w:sz w:val="24"/>
          <w:szCs w:val="24"/>
        </w:rPr>
        <w:t xml:space="preserve">Appendix A - Evidence and sources</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List what was examined and when, so a reader can trust the scores and a successor can repeat them. Include the lifecycle and vendor references you verified, with 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838"/>
        <w:gridCol w:w="160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Source</w:t>
            </w:r>
          </w:p>
        </w:tc>
        <w:tc>
          <w:tcPr>
            <w:tcW w:type="dxa" w:w="48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What was examined</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Date</w:t>
            </w:r>
          </w:p>
        </w:tc>
      </w:tr>
      <w:tr>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[Microsoft 365 / Entra admin centres]</w:t>
            </w:r>
          </w:p>
        </w:tc>
        <w:tc>
          <w:tcPr>
            <w:tcW w:type="dxa" w:w="4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[Conditional Access policies, MFA registration, role assignments, Secure Score]</w:t>
            </w:r>
          </w:p>
        </w:tc>
        <w:tc>
          <w:tcPr>
            <w:tcW w:type="dxa" w:w="1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[dd/mm/yyyy]</w:t>
            </w:r>
          </w:p>
        </w:tc>
      </w:tr>
      <w:tr>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[blueAPACHE monitoring and patching platforms]</w:t>
            </w:r>
          </w:p>
        </w:tc>
        <w:tc>
          <w:tcPr>
            <w:tcW w:type="dxa" w:w="4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[Node inventory, patch compliance reports]</w:t>
            </w:r>
          </w:p>
        </w:tc>
        <w:tc>
          <w:tcPr>
            <w:tcW w:type="dxa" w:w="1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[dd/mm/yyyy]</w:t>
            </w:r>
          </w:p>
        </w:tc>
      </w:tr>
      <w:tr>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[Backup platform]</w:t>
            </w:r>
          </w:p>
        </w:tc>
        <w:tc>
          <w:tcPr>
            <w:tcW w:type="dxa" w:w="4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[Job history 30 days, repository configuration, restore test evidence]</w:t>
            </w:r>
          </w:p>
        </w:tc>
        <w:tc>
          <w:tcPr>
            <w:tcW w:type="dxa" w:w="1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[dd/mm/yyyy]</w:t>
            </w:r>
          </w:p>
        </w:tc>
      </w:tr>
      <w:tr>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[Firewall management]</w:t>
            </w:r>
          </w:p>
        </w:tc>
        <w:tc>
          <w:tcPr>
            <w:tcW w:type="dxa" w:w="4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[Firmware, HA status, policy table, external exposure]</w:t>
            </w:r>
          </w:p>
        </w:tc>
        <w:tc>
          <w:tcPr>
            <w:tcW w:type="dxa" w:w="1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[dd/mm/yyyy]</w:t>
            </w:r>
          </w:p>
        </w:tc>
      </w:tr>
      <w:tr>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Microsoft Lifecycle (learn.microsoft.com/lifecycle)</w:t>
            </w:r>
          </w:p>
        </w:tc>
        <w:tc>
          <w:tcPr>
            <w:tcW w:type="dxa" w:w="4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[Products checked - e.g. Windows Server 2016 end of support 12 Jan 2027]</w:t>
            </w:r>
          </w:p>
        </w:tc>
        <w:tc>
          <w:tcPr>
            <w:tcW w:type="dxa" w:w="1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[dd/mm/yyyy]</w:t>
            </w:r>
          </w:p>
        </w:tc>
      </w:tr>
      <w:tr>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ASD Essential Eight Maturity Model (cyber.gov.au)</w:t>
            </w:r>
          </w:p>
        </w:tc>
        <w:tc>
          <w:tcPr>
            <w:tcW w:type="dxa" w:w="4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Model revision 27 Nov 2023 used for indicative position</w:t>
            </w:r>
          </w:p>
        </w:tc>
        <w:tc>
          <w:tcPr>
            <w:tcW w:type="dxa" w:w="1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[dd/mm/yyyy]</w:t>
            </w:r>
          </w:p>
        </w:tc>
      </w:tr>
    </w:tbl>
    <w:p>
      <w:pPr>
        <w:pStyle w:val="Heading2"/>
        <w:spacing w:after="120" w:before="280"/>
      </w:pPr>
      <w:r>
        <w:rPr>
          <w:rFonts w:ascii="Arial" w:cs="Arial" w:eastAsia="Arial" w:hAnsi="Arial"/>
          <w:b/>
          <w:bCs/>
          <w:color w:val="1F3864"/>
          <w:sz w:val="24"/>
          <w:szCs w:val="24"/>
        </w:rPr>
        <w:t xml:space="preserve">Appendix B - Scoring method</w:t>
      </w:r>
    </w:p>
    <w:p>
      <w:pPr>
        <w:spacing w:after="120" w:before="0"/>
      </w:pPr>
      <w:r>
        <w:rPr>
          <w:rFonts w:ascii="Arial" w:cs="Arial" w:eastAsia="Arial" w:hAnsi="Arial"/>
          <w:sz w:val="20"/>
          <w:szCs w:val="20"/>
        </w:rPr>
        <w:t xml:space="preserve">Each control was scored 0 (absent or unknown), 1 (partial or ad hoc), 2 (implemented and consistent - the baseline) or 3 (optimised), or marked not applicable. Domain scores are the attained score as a percentage of the target across assessed controls. Priorities combine business risk (High / Medium / Low, judged in [Client name]'s context) with effort (small / medium / large). The Essential Eight position is indicative: for each mitigation strategy it reflects the weakest related control, consistent with the model's weakest-link approach, and is not a formal assessment.</w:t>
      </w:r>
    </w:p>
    <w:p>
      <w:pPr>
        <w:pStyle w:val="Heading2"/>
        <w:spacing w:after="120" w:before="280"/>
      </w:pPr>
      <w:r>
        <w:rPr>
          <w:rFonts w:ascii="Arial" w:cs="Arial" w:eastAsia="Arial" w:hAnsi="Arial"/>
          <w:b/>
          <w:bCs/>
          <w:color w:val="1F3864"/>
          <w:sz w:val="24"/>
          <w:szCs w:val="24"/>
        </w:rPr>
        <w:t xml:space="preserve">Appendix C - Lifecycle watch</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From LIC-01 / LIC-02. Everything out of support or within 12 months. Verify every date on the day against the vendor's lifecycle page and cite it in Appendix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800"/>
        <w:gridCol w:w="2600"/>
        <w:gridCol w:w="25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Item</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Version / model</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Count</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Support ends</w:t>
            </w:r>
          </w:p>
        </w:tc>
        <w:tc>
          <w:tcPr>
            <w:tcW w:type="dxa" w:w="25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Plan</w:t>
            </w:r>
          </w:p>
        </w:tc>
      </w:tr>
      <w:tr>
        <w:tc>
          <w:tcPr>
            <w:tcW w:type="dxa" w:w="2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[Windows Server]</w:t>
            </w:r>
          </w:p>
        </w:tc>
        <w:tc>
          <w:tcPr>
            <w:tcW w:type="dxa" w:w="1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[2016]</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[n]</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[12 Jan 2027 - Microsoft Lifecycle]</w:t>
            </w:r>
          </w:p>
        </w:tc>
        <w:tc>
          <w:tcPr>
            <w:tcW w:type="dxa" w:w="25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[Upgrade in place / migrate / decommission - by when]</w:t>
            </w:r>
          </w:p>
        </w:tc>
      </w:tr>
      <w:tr>
        <w:tc>
          <w:tcPr>
            <w:tcW w:type="dxa" w:w="2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[Firewall]</w:t>
            </w:r>
          </w:p>
        </w:tc>
        <w:tc>
          <w:tcPr>
            <w:tcW w:type="dxa" w:w="1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[model]</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[n]</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[vendor EoS date]</w:t>
            </w:r>
          </w:p>
        </w:tc>
        <w:tc>
          <w:tcPr>
            <w:tcW w:type="dxa" w:w="25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[Replace - FY budget]</w:t>
            </w:r>
          </w:p>
        </w:tc>
      </w:tr>
      <w:tr>
        <w:tc>
          <w:tcPr>
            <w:tcW w:type="dxa" w:w="2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[SQL Server]</w:t>
            </w:r>
          </w:p>
        </w:tc>
        <w:tc>
          <w:tcPr>
            <w:tcW w:type="dxa" w:w="1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[2016]</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[n]</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[Out of support since 14 Jul 2026 - Microsoft Lifecycle]</w:t>
            </w:r>
          </w:p>
        </w:tc>
        <w:tc>
          <w:tcPr>
            <w:tcW w:type="dxa" w:w="25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[Upgrade with application vendor - ESU as bridge]</w:t>
            </w:r>
          </w:p>
        </w:tc>
      </w:tr>
      <w:tr>
        <w:tc>
          <w:tcPr>
            <w:tcW w:type="dxa" w:w="2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25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Part A internal - Part B client-facing once approved by the SDM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blueAPACHE  |  Client Environment Review  |  Method and Report Template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F549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Environment Review - Method and Report Template v1.0</dc:title>
  <dc:creator>Bikash Shrestha</dc:creator>
  <dc:description>blueAPACHE Portfolio Engineering - client environment review method and client-ready report template</dc:description>
  <cp:lastModifiedBy>Un-named</cp:lastModifiedBy>
  <cp:revision>1</cp:revision>
  <dcterms:created xsi:type="dcterms:W3CDTF">2026-09-04T21:57:22.453Z</dcterms:created>
  <dcterms:modified xsi:type="dcterms:W3CDTF">2026-09-04T21:57:22.454Z</dcterms:modified>
</cp:coreProperties>
</file>

<file path=docProps/custom.xml><?xml version="1.0" encoding="utf-8"?>
<Properties xmlns="http://schemas.openxmlformats.org/officeDocument/2006/custom-properties" xmlns:vt="http://schemas.openxmlformats.org/officeDocument/2006/docPropsVTypes"/>
</file>