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62" w:rsidRDefault="00004E62" w:rsidP="00004E62">
      <w:pPr>
        <w:wordWrap w:val="0"/>
        <w:jc w:val="right"/>
        <w:rPr>
          <w:rFonts w:ascii="Times New Roman" w:hAnsi="Times New Roman"/>
          <w:b/>
          <w:sz w:val="52"/>
          <w:szCs w:val="52"/>
        </w:rPr>
      </w:pPr>
    </w:p>
    <w:p w:rsidR="00004E62" w:rsidRDefault="00004E62" w:rsidP="00004E62">
      <w:pPr>
        <w:jc w:val="right"/>
        <w:rPr>
          <w:rFonts w:ascii="Times New Roman" w:hAnsi="Times New Roman"/>
          <w:b/>
          <w:sz w:val="52"/>
          <w:szCs w:val="52"/>
        </w:rPr>
      </w:pPr>
    </w:p>
    <w:p w:rsidR="0011104A" w:rsidRDefault="00004E62" w:rsidP="00004E62">
      <w:pPr>
        <w:jc w:val="right"/>
        <w:rPr>
          <w:rFonts w:ascii="Times New Roman" w:hAnsi="Times New Roman"/>
          <w:b/>
          <w:sz w:val="52"/>
          <w:szCs w:val="52"/>
        </w:rPr>
      </w:pPr>
      <w:r w:rsidRPr="00004E62">
        <w:rPr>
          <w:rFonts w:ascii="Times New Roman" w:hAnsi="Times New Roman"/>
          <w:b/>
          <w:sz w:val="52"/>
          <w:szCs w:val="52"/>
        </w:rPr>
        <w:t>Combine and Generate AST</w:t>
      </w:r>
    </w:p>
    <w:p w:rsidR="00004E62" w:rsidRDefault="00004E62" w:rsidP="00004E62">
      <w:pPr>
        <w:ind w:firstLineChars="200" w:firstLine="883"/>
        <w:jc w:val="right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Use Case</w:t>
      </w:r>
    </w:p>
    <w:p w:rsidR="00004E62" w:rsidRDefault="00004E62" w:rsidP="00004E62">
      <w:pPr>
        <w:jc w:val="right"/>
        <w:rPr>
          <w:rFonts w:ascii="Times New Roman" w:hAnsi="Times New Roman"/>
          <w:b/>
          <w:sz w:val="52"/>
          <w:szCs w:val="52"/>
        </w:rPr>
      </w:pPr>
    </w:p>
    <w:p w:rsidR="00004E62" w:rsidRDefault="00004E62" w:rsidP="00004E62">
      <w:pPr>
        <w:pStyle w:val="2"/>
        <w:numPr>
          <w:ilvl w:val="1"/>
          <w:numId w:val="1"/>
        </w:numPr>
        <w:rPr>
          <w:rFonts w:ascii="Times New Roman" w:hAnsi="Times New Roman"/>
        </w:rPr>
      </w:pPr>
      <w:bookmarkStart w:id="0" w:name="_Toc321463449"/>
      <w:r>
        <w:rPr>
          <w:rFonts w:ascii="Times New Roman" w:hAnsi="Times New Roman" w:hint="eastAsia"/>
        </w:rPr>
        <w:t>Introduce</w:t>
      </w:r>
      <w:bookmarkEnd w:id="0"/>
    </w:p>
    <w:p w:rsidR="00004E62" w:rsidRPr="00004E62" w:rsidRDefault="00004E62" w:rsidP="00004E62">
      <w:pPr>
        <w:wordWrap w:val="0"/>
        <w:ind w:right="420"/>
      </w:pPr>
      <w:r>
        <w:rPr>
          <w:rFonts w:hint="eastAsia"/>
        </w:rPr>
        <w:t>此站的过程描述和业务规则是有</w:t>
      </w:r>
      <w:r w:rsidRPr="00004E62">
        <w:rPr>
          <w:rFonts w:hint="eastAsia"/>
        </w:rPr>
        <w:t>Combine AST</w:t>
      </w:r>
      <w:r>
        <w:rPr>
          <w:rFonts w:hint="eastAsia"/>
        </w:rPr>
        <w:t>和</w:t>
      </w:r>
      <w:bookmarkStart w:id="1" w:name="OLE_LINK7"/>
      <w:bookmarkStart w:id="2" w:name="OLE_LINK8"/>
      <w:r w:rsidRPr="00004E62">
        <w:t>Online Generate AST</w:t>
      </w:r>
      <w:r w:rsidR="009A2966">
        <w:rPr>
          <w:rFonts w:hint="eastAsia"/>
        </w:rPr>
        <w:t>这两个页面合</w:t>
      </w:r>
      <w:r>
        <w:rPr>
          <w:rFonts w:hint="eastAsia"/>
        </w:rPr>
        <w:t>并</w:t>
      </w:r>
      <w:r w:rsidR="00197240">
        <w:rPr>
          <w:rFonts w:hint="eastAsia"/>
        </w:rPr>
        <w:t>而来的，要了解详细功能和卡站逻辑，请参考</w:t>
      </w:r>
      <w:r w:rsidR="009A2966">
        <w:rPr>
          <w:rFonts w:hint="eastAsia"/>
        </w:rPr>
        <w:t>合并页面的</w:t>
      </w:r>
      <w:r w:rsidR="009A2966">
        <w:rPr>
          <w:rFonts w:hint="eastAsia"/>
        </w:rPr>
        <w:t>UC</w:t>
      </w:r>
      <w:r w:rsidR="009A2966">
        <w:rPr>
          <w:rFonts w:hint="eastAsia"/>
        </w:rPr>
        <w:t>和</w:t>
      </w:r>
      <w:r w:rsidR="009A2966">
        <w:rPr>
          <w:rFonts w:hint="eastAsia"/>
        </w:rPr>
        <w:t>UI.</w:t>
      </w:r>
    </w:p>
    <w:bookmarkEnd w:id="1"/>
    <w:bookmarkEnd w:id="2"/>
    <w:p w:rsidR="009A2966" w:rsidRDefault="009A2966" w:rsidP="009A2966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在此站新增以下需求：</w:t>
      </w:r>
      <w:bookmarkStart w:id="3" w:name="OLE_LINK5"/>
      <w:bookmarkStart w:id="4" w:name="OLE_LINK6"/>
      <w:bookmarkStart w:id="5" w:name="OLE_LINK3"/>
      <w:bookmarkStart w:id="6" w:name="OLE_LINK4"/>
      <w:r w:rsidRPr="00FF21AF">
        <w:rPr>
          <w:rFonts w:ascii="Verdana" w:hAnsi="Verdana"/>
          <w:color w:val="000000"/>
          <w:sz w:val="20"/>
          <w:szCs w:val="20"/>
          <w:highlight w:val="green"/>
        </w:rPr>
        <w:t>增加刷胶水条码</w:t>
      </w:r>
    </w:p>
    <w:p w:rsidR="00004E62" w:rsidRPr="00FF21AF" w:rsidRDefault="001F4105" w:rsidP="00004E62">
      <w:pPr>
        <w:wordWrap w:val="0"/>
        <w:ind w:right="420"/>
        <w:rPr>
          <w:rFonts w:ascii="Verdana" w:hAnsi="Verdana"/>
          <w:color w:val="000000"/>
          <w:sz w:val="20"/>
          <w:szCs w:val="20"/>
          <w:highlight w:val="green"/>
        </w:rPr>
      </w:pPr>
      <w:r w:rsidRPr="00FF21AF">
        <w:rPr>
          <w:rFonts w:ascii="Verdana" w:hAnsi="Verdana"/>
          <w:color w:val="000000"/>
          <w:sz w:val="20"/>
          <w:szCs w:val="20"/>
          <w:highlight w:val="green"/>
        </w:rPr>
        <w:t>.</w:t>
      </w:r>
      <w:r w:rsidRPr="00FF21AF">
        <w:rPr>
          <w:rFonts w:ascii="Verdana" w:hAnsi="Verdana" w:hint="eastAsia"/>
          <w:color w:val="000000"/>
          <w:sz w:val="20"/>
          <w:szCs w:val="20"/>
          <w:highlight w:val="green"/>
        </w:rPr>
        <w:t>1.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页面刷入顺序，刷完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 xml:space="preserve">ProductID 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页面提示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 xml:space="preserve">“ 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请结合资产标签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ASTNo”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，刷完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ATSN1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后，页面提示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“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请刷入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@ATSN9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条码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 xml:space="preserve">” 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最后保存打印</w:t>
      </w:r>
    </w:p>
    <w:p w:rsidR="001F4105" w:rsidRPr="00FF21AF" w:rsidRDefault="001F4105" w:rsidP="001F4105">
      <w:pPr>
        <w:pStyle w:val="a3"/>
        <w:numPr>
          <w:ilvl w:val="0"/>
          <w:numId w:val="2"/>
        </w:numPr>
        <w:ind w:firstLineChars="0"/>
        <w:rPr>
          <w:rFonts w:eastAsia="SimHei"/>
          <w:sz w:val="24"/>
          <w:highlight w:val="green"/>
        </w:rPr>
      </w:pPr>
      <w:r w:rsidRPr="00FF21AF">
        <w:rPr>
          <w:rFonts w:ascii="MingLiU" w:eastAsia="MingLiU" w:hAnsi="MingLiU" w:cs="MingLiU" w:hint="eastAsia"/>
          <w:sz w:val="24"/>
          <w:highlight w:val="green"/>
        </w:rPr>
        <w:t>过</w:t>
      </w:r>
      <w:r w:rsidRPr="00FF21AF">
        <w:rPr>
          <w:rFonts w:ascii="MS Gothic" w:eastAsia="MS Gothic" w:hAnsi="MS Gothic" w:cs="MS Gothic" w:hint="eastAsia"/>
          <w:sz w:val="24"/>
          <w:highlight w:val="green"/>
        </w:rPr>
        <w:t>程描述</w:t>
      </w:r>
    </w:p>
    <w:p w:rsidR="001F4105" w:rsidRDefault="00934C9C" w:rsidP="00004E62">
      <w:pPr>
        <w:wordWrap w:val="0"/>
        <w:ind w:right="420"/>
        <w:rPr>
          <w:rFonts w:ascii="Verdana" w:hAnsi="Verdana"/>
          <w:color w:val="000000"/>
          <w:sz w:val="20"/>
          <w:szCs w:val="20"/>
        </w:rPr>
      </w:pPr>
      <w:r w:rsidRPr="00FF21AF">
        <w:rPr>
          <w:rFonts w:ascii="Verdana" w:hAnsi="Verdana" w:hint="eastAsia"/>
          <w:color w:val="000000"/>
          <w:sz w:val="20"/>
          <w:szCs w:val="20"/>
          <w:highlight w:val="green"/>
        </w:rPr>
        <w:t>刷完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ATSN1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后</w:t>
      </w:r>
      <w:r w:rsidRPr="00FF21AF">
        <w:rPr>
          <w:rFonts w:ascii="Verdana" w:hAnsi="Verdana" w:hint="eastAsia"/>
          <w:color w:val="000000"/>
          <w:sz w:val="20"/>
          <w:szCs w:val="20"/>
          <w:highlight w:val="green"/>
        </w:rPr>
        <w:t>，进行</w:t>
      </w:r>
      <w:r w:rsidRPr="00FF21AF">
        <w:rPr>
          <w:rFonts w:ascii="Arial" w:hAnsi="Arial"/>
          <w:sz w:val="22"/>
          <w:highlight w:val="green"/>
        </w:rPr>
        <w:t>C</w:t>
      </w:r>
      <w:r w:rsidRPr="00FF21AF">
        <w:rPr>
          <w:rFonts w:ascii="Arial" w:hAnsi="Arial" w:hint="eastAsia"/>
          <w:sz w:val="22"/>
          <w:highlight w:val="green"/>
        </w:rPr>
        <w:t xml:space="preserve">heck </w:t>
      </w:r>
      <w:r w:rsidRPr="00FF21AF">
        <w:rPr>
          <w:rFonts w:ascii="Arial" w:hAnsi="Arial" w:hint="eastAsia"/>
          <w:sz w:val="22"/>
          <w:highlight w:val="green"/>
        </w:rPr>
        <w:t>是否要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刷入胶水条码</w:t>
      </w:r>
      <w:r w:rsidRPr="00FF21AF">
        <w:rPr>
          <w:rFonts w:ascii="Verdana" w:hAnsi="Verdana"/>
          <w:color w:val="000000"/>
          <w:sz w:val="20"/>
          <w:szCs w:val="20"/>
          <w:highlight w:val="green"/>
        </w:rPr>
        <w:t>”ATSN9”</w:t>
      </w:r>
      <w:r w:rsidRPr="00FF21AF">
        <w:rPr>
          <w:rFonts w:ascii="Verdana" w:hAnsi="Verdana" w:hint="eastAsia"/>
          <w:color w:val="000000"/>
          <w:sz w:val="20"/>
          <w:szCs w:val="20"/>
          <w:highlight w:val="green"/>
        </w:rPr>
        <w:t>.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1F4105" w:rsidRPr="00DA7D58" w:rsidTr="00282568">
        <w:trPr>
          <w:trHeight w:val="1515"/>
        </w:trPr>
        <w:tc>
          <w:tcPr>
            <w:tcW w:w="1147" w:type="pct"/>
          </w:tcPr>
          <w:p w:rsidR="001F4105" w:rsidRPr="00C96668" w:rsidRDefault="001F4105" w:rsidP="00282568">
            <w:pPr>
              <w:rPr>
                <w:rFonts w:ascii="Arial" w:eastAsia="SimSun" w:hAnsi="Arial"/>
                <w:sz w:val="22"/>
              </w:rPr>
            </w:pPr>
            <w:bookmarkStart w:id="7" w:name="OLE_LINK9"/>
            <w:bookmarkStart w:id="8" w:name="OLE_LINK10"/>
            <w:bookmarkStart w:id="9" w:name="OLE_LINK11"/>
            <w:r>
              <w:rPr>
                <w:rFonts w:ascii="Arial" w:eastAsia="SimSun" w:hAnsi="Arial" w:hint="eastAsia"/>
                <w:sz w:val="22"/>
              </w:rPr>
              <w:t>7</w:t>
            </w:r>
            <w:r w:rsidRPr="00C96668">
              <w:rPr>
                <w:rFonts w:ascii="Arial" w:eastAsia="SimSun" w:hAnsi="Arial" w:hint="eastAsia"/>
                <w:sz w:val="22"/>
              </w:rPr>
              <w:t>.I</w:t>
            </w:r>
            <w:r w:rsidRPr="00C96668">
              <w:rPr>
                <w:rFonts w:ascii="Arial" w:eastAsia="SimSun" w:hAnsi="Arial"/>
                <w:sz w:val="22"/>
              </w:rPr>
              <w:t>n</w:t>
            </w:r>
            <w:r w:rsidRPr="00C96668">
              <w:rPr>
                <w:rFonts w:ascii="Arial" w:eastAsia="SimSun" w:hAnsi="Arial" w:hint="eastAsia"/>
                <w:sz w:val="22"/>
              </w:rPr>
              <w:t xml:space="preserve">put </w:t>
            </w:r>
            <w:r>
              <w:rPr>
                <w:rFonts w:ascii="Arial" w:eastAsia="SimSun" w:hAnsi="Arial" w:hint="eastAsia"/>
                <w:sz w:val="22"/>
              </w:rPr>
              <w:t>AST</w:t>
            </w:r>
          </w:p>
        </w:tc>
        <w:tc>
          <w:tcPr>
            <w:tcW w:w="3853" w:type="pct"/>
            <w:shd w:val="clear" w:color="auto" w:fill="auto"/>
          </w:tcPr>
          <w:p w:rsidR="001F4105" w:rsidRPr="0000137C" w:rsidRDefault="001F4105" w:rsidP="00282568">
            <w:pPr>
              <w:rPr>
                <w:rFonts w:ascii="Arial" w:hAnsi="Arial"/>
                <w:color w:val="FF0000"/>
                <w:sz w:val="22"/>
              </w:rPr>
            </w:pPr>
            <w:r w:rsidRPr="0000137C">
              <w:rPr>
                <w:rFonts w:ascii="Arial" w:hAnsi="Arial" w:hint="eastAsia"/>
                <w:color w:val="FF0000"/>
                <w:sz w:val="22"/>
              </w:rPr>
              <w:t>如果在步骤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5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中已经结合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AST,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就不同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Input AST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了</w:t>
            </w:r>
          </w:p>
        </w:tc>
      </w:tr>
      <w:tr w:rsidR="001F4105" w:rsidTr="00282568">
        <w:trPr>
          <w:trHeight w:val="654"/>
        </w:trPr>
        <w:tc>
          <w:tcPr>
            <w:tcW w:w="1147" w:type="pct"/>
          </w:tcPr>
          <w:p w:rsidR="001F4105" w:rsidRPr="00167C36" w:rsidRDefault="001F4105" w:rsidP="00282568">
            <w:pPr>
              <w:rPr>
                <w:rFonts w:ascii="Arial" w:hAnsi="Arial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1F4105" w:rsidRPr="00934C9C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Arial" w:hAnsi="Arial"/>
                <w:sz w:val="22"/>
                <w:highlight w:val="green"/>
              </w:rPr>
              <w:t>C</w:t>
            </w:r>
            <w:r w:rsidRPr="00934C9C">
              <w:rPr>
                <w:rFonts w:ascii="Arial" w:hAnsi="Arial" w:hint="eastAsia"/>
                <w:sz w:val="22"/>
                <w:highlight w:val="green"/>
              </w:rPr>
              <w:t xml:space="preserve">heck </w:t>
            </w:r>
            <w:r w:rsidRPr="00934C9C">
              <w:rPr>
                <w:rFonts w:ascii="Arial" w:hAnsi="Arial" w:hint="eastAsia"/>
                <w:sz w:val="22"/>
                <w:highlight w:val="green"/>
              </w:rPr>
              <w:t>是否要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刷入胶水条码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”ATSN9”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:</w:t>
            </w:r>
          </w:p>
          <w:p w:rsidR="001F4105" w:rsidRPr="00934C9C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a.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如果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ModelBOM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下边带此颗料，则需结合此料</w:t>
            </w:r>
            <w:bookmarkStart w:id="10" w:name="OLE_LINK14"/>
            <w:bookmarkStart w:id="11" w:name="OLE_LINK15"/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PartNo</w:t>
            </w:r>
            <w:bookmarkEnd w:id="10"/>
            <w:bookmarkEnd w:id="11"/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(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胶水条码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ATSN9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)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，页面要提示：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“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请刷入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@ATSN9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条码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”</w:t>
            </w:r>
          </w:p>
          <w:p w:rsidR="001F4105" w:rsidRPr="00934C9C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I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f exists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（</w:t>
            </w:r>
            <w:bookmarkStart w:id="12" w:name="OLE_LINK12"/>
            <w:bookmarkStart w:id="13" w:name="OLE_LINK13"/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select PartNo from ModelBOM a,Part b </w:t>
            </w:r>
          </w:p>
          <w:p w:rsidR="001F4105" w:rsidRPr="00934C9C" w:rsidRDefault="001F4105" w:rsidP="00282568">
            <w:pPr>
              <w:ind w:firstLineChars="400" w:firstLine="8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where a.Material like 'PC%' </w:t>
            </w:r>
          </w:p>
          <w:p w:rsidR="001F4105" w:rsidRPr="00934C9C" w:rsidRDefault="001F4105" w:rsidP="00282568">
            <w:pPr>
              <w:ind w:firstLineChars="400" w:firstLine="8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and a.Component=b.PartNo </w:t>
            </w:r>
          </w:p>
          <w:p w:rsidR="001F4105" w:rsidRPr="00934C9C" w:rsidRDefault="001F4105" w:rsidP="00282568">
            <w:pPr>
              <w:ind w:firstLineChars="400" w:firstLine="8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and BomNodeType='PL' </w:t>
            </w:r>
          </w:p>
          <w:p w:rsidR="001F4105" w:rsidRPr="00934C9C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 xml:space="preserve">       and  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Descr='ATSN9'</w:t>
            </w:r>
            <w:bookmarkEnd w:id="12"/>
            <w:bookmarkEnd w:id="13"/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）</w:t>
            </w:r>
          </w:p>
          <w:p w:rsidR="001F4105" w:rsidRPr="00934C9C" w:rsidRDefault="00FC1F88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bookmarkStart w:id="14" w:name="OLE_LINK1"/>
            <w:bookmarkStart w:id="15" w:name="OLE_LINK2"/>
            <w:bookmarkStart w:id="16" w:name="OLE_LINK19"/>
            <w:bookmarkStart w:id="17" w:name="OLE_LINK20"/>
            <w:r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‘</w:t>
            </w:r>
            <w:r w:rsidR="00207B70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请刷入</w:t>
            </w:r>
            <w:r w:rsidR="00207B70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@ATSN9</w:t>
            </w:r>
            <w:r w:rsidR="00207B70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条码</w:t>
            </w:r>
            <w: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’</w:t>
            </w:r>
            <w:r w:rsidR="007A4694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；</w:t>
            </w:r>
            <w:r w:rsidR="001F4105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@ATSN9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的值为：</w:t>
            </w:r>
          </w:p>
          <w:p w:rsidR="001F4105" w:rsidRPr="00934C9C" w:rsidRDefault="001F4105" w:rsidP="00282568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highlight w:val="green"/>
              </w:rPr>
            </w:pPr>
            <w:bookmarkStart w:id="18" w:name="OLE_LINK16"/>
            <w:bookmarkStart w:id="19" w:name="OLE_LINK17"/>
            <w:bookmarkStart w:id="20" w:name="OLE_LINK18"/>
            <w:bookmarkEnd w:id="14"/>
            <w:bookmarkEnd w:id="15"/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@ATSN9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=</w:t>
            </w:r>
            <w:r w:rsidRPr="00621B4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PartInfo</w:t>
            </w:r>
            <w:r w:rsidRPr="00621B4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.InfoValue</w:t>
            </w:r>
            <w:r w:rsidRPr="00934C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green"/>
              </w:rPr>
              <w:t>（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PartNo=</w:t>
            </w:r>
            <w:r w:rsidR="00207B70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Model</w:t>
            </w:r>
            <w:r w:rsidR="007A4694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BOM</w:t>
            </w:r>
            <w:r w:rsidR="007A4694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中</w:t>
            </w:r>
            <w:r w:rsidR="007A4694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PartNo</w:t>
            </w:r>
            <w:r w:rsidR="007A4694"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(</w:t>
            </w:r>
            <w:r w:rsidR="007A4694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胶水条码</w:t>
            </w:r>
            <w:r w:rsidR="007A4694"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ATSN9</w:t>
            </w:r>
            <w:r w:rsidR="007A4694"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)</w:t>
            </w:r>
            <w:r w:rsidR="00207B70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and </w:t>
            </w:r>
            <w:r w:rsidR="00207B70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InfoType='Descr'</w:t>
            </w:r>
            <w:r w:rsidRPr="00934C9C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highlight w:val="green"/>
              </w:rPr>
              <w:t>）</w:t>
            </w:r>
          </w:p>
          <w:bookmarkEnd w:id="16"/>
          <w:bookmarkEnd w:id="17"/>
          <w:bookmarkEnd w:id="18"/>
          <w:bookmarkEnd w:id="19"/>
          <w:bookmarkEnd w:id="20"/>
          <w:p w:rsidR="001F4105" w:rsidRPr="00934C9C" w:rsidRDefault="001F4105" w:rsidP="00282568">
            <w:pPr>
              <w:rPr>
                <w:rFonts w:ascii="Arial" w:hAnsi="Arial"/>
                <w:sz w:val="22"/>
                <w:highlight w:val="green"/>
              </w:rPr>
            </w:pPr>
            <w:r w:rsidRPr="00934C9C">
              <w:rPr>
                <w:rFonts w:ascii="Arial" w:hAnsi="Arial" w:hint="eastAsia"/>
                <w:sz w:val="22"/>
                <w:highlight w:val="green"/>
              </w:rPr>
              <w:lastRenderedPageBreak/>
              <w:t>b</w:t>
            </w:r>
            <w:r w:rsidRPr="00934C9C">
              <w:rPr>
                <w:rFonts w:ascii="Arial" w:hAnsi="Arial" w:hint="eastAsia"/>
                <w:sz w:val="22"/>
                <w:highlight w:val="green"/>
              </w:rPr>
              <w:t>．按正常流程继续</w:t>
            </w:r>
          </w:p>
        </w:tc>
      </w:tr>
      <w:tr w:rsidR="001F4105" w:rsidTr="001425CD">
        <w:trPr>
          <w:trHeight w:val="1046"/>
        </w:trPr>
        <w:tc>
          <w:tcPr>
            <w:tcW w:w="1147" w:type="pct"/>
          </w:tcPr>
          <w:p w:rsidR="001F4105" w:rsidRPr="00DA7D58" w:rsidRDefault="001F4105" w:rsidP="00282568">
            <w:pPr>
              <w:rPr>
                <w:rFonts w:ascii="Arial" w:hAnsi="Arial"/>
                <w:sz w:val="22"/>
              </w:rPr>
            </w:pPr>
            <w:r w:rsidRPr="00934C9C">
              <w:rPr>
                <w:rFonts w:ascii="Arial" w:hAnsi="Arial" w:hint="eastAsia"/>
                <w:sz w:val="22"/>
                <w:highlight w:val="green"/>
              </w:rPr>
              <w:lastRenderedPageBreak/>
              <w:t xml:space="preserve">8.Input </w:t>
            </w:r>
            <w:r w:rsidRPr="00934C9C">
              <w:rPr>
                <w:rFonts w:ascii="Arial" w:hAnsi="Arial" w:hint="eastAsia"/>
                <w:sz w:val="22"/>
                <w:highlight w:val="green"/>
              </w:rPr>
              <w:t>胶水条码‘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ATSN9</w:t>
            </w:r>
            <w:r w:rsidRPr="00934C9C">
              <w:rPr>
                <w:rFonts w:ascii="Arial" w:hAnsi="Arial" w:hint="eastAsia"/>
                <w:sz w:val="22"/>
                <w:highlight w:val="green"/>
              </w:rPr>
              <w:t>‘</w:t>
            </w:r>
          </w:p>
        </w:tc>
        <w:tc>
          <w:tcPr>
            <w:tcW w:w="3853" w:type="pct"/>
            <w:shd w:val="clear" w:color="auto" w:fill="auto"/>
          </w:tcPr>
          <w:p w:rsidR="001F4105" w:rsidRPr="00934C9C" w:rsidRDefault="001F4105" w:rsidP="00282568">
            <w:pPr>
              <w:tabs>
                <w:tab w:val="left" w:pos="720"/>
              </w:tabs>
              <w:autoSpaceDE w:val="0"/>
              <w:autoSpaceDN w:val="0"/>
              <w:adjustRightInd w:val="0"/>
              <w:ind w:left="272" w:right="18" w:hanging="150"/>
              <w:rPr>
                <w:rFonts w:ascii="MingLiU" w:hAnsi="MingLiU" w:cs="MingLiU"/>
                <w:color w:val="000000"/>
                <w:kern w:val="0"/>
                <w:sz w:val="18"/>
                <w:szCs w:val="18"/>
                <w:highlight w:val="green"/>
              </w:rPr>
            </w:pP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检查刷入的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胶水条码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和展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Model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BOM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出来的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PartNo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(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胶水条码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ATSN9</w:t>
            </w:r>
            <w:r w:rsidR="00207B70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)</w:t>
            </w:r>
            <w:r w:rsidR="00207B70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是</w:t>
            </w:r>
            <w:r w:rsidRPr="00934C9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否一致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,</w:t>
            </w:r>
            <w:r w:rsidRPr="00934C9C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若不一致提示：‘</w:t>
            </w:r>
            <w:r w:rsidRPr="00934C9C">
              <w:rPr>
                <w:rFonts w:ascii="MingLiU" w:eastAsia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刷入</w:t>
            </w:r>
            <w:r w:rsidRPr="00934C9C">
              <w:rPr>
                <w:rFonts w:ascii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胶水</w:t>
            </w:r>
            <w:r w:rsidRPr="00934C9C">
              <w:rPr>
                <w:rFonts w:ascii="MingLiU" w:eastAsia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条码错误</w:t>
            </w:r>
            <w:r w:rsidRPr="00934C9C">
              <w:rPr>
                <w:rFonts w:ascii="MS Shell Dlg 2" w:eastAsia="MS Shell Dlg 2" w:hAnsi="Arial" w:cs="MS Shell Dlg 2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934C9C">
              <w:rPr>
                <w:rFonts w:ascii="MingLiU" w:eastAsia="MingLiU" w:hAnsi="MingLiU" w:cs="MingLiU" w:hint="eastAsia"/>
                <w:color w:val="000000"/>
                <w:kern w:val="0"/>
                <w:sz w:val="20"/>
                <w:szCs w:val="20"/>
                <w:highlight w:val="green"/>
              </w:rPr>
              <w:t>，</w:t>
            </w:r>
            <w:r w:rsidRPr="00934C9C">
              <w:rPr>
                <w:rFonts w:ascii="MingLiU" w:hAnsi="MingLiU" w:cs="MingLiU" w:hint="eastAsia"/>
                <w:color w:val="000000"/>
                <w:kern w:val="0"/>
                <w:sz w:val="20"/>
                <w:szCs w:val="20"/>
                <w:highlight w:val="green"/>
              </w:rPr>
              <w:t>请</w:t>
            </w:r>
            <w:r w:rsidRPr="00934C9C">
              <w:rPr>
                <w:rFonts w:ascii="MingLiU" w:eastAsia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重新刷</w:t>
            </w:r>
            <w:r w:rsidRPr="00934C9C">
              <w:rPr>
                <w:rFonts w:ascii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入</w:t>
            </w:r>
            <w:r w:rsidRPr="00934C9C">
              <w:rPr>
                <w:rFonts w:ascii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!</w:t>
            </w:r>
            <w:r w:rsidRPr="00934C9C">
              <w:rPr>
                <w:rFonts w:ascii="MingLiU" w:hAnsi="MingLiU" w:cs="MingLiU" w:hint="eastAsia"/>
                <w:color w:val="000000"/>
                <w:kern w:val="0"/>
                <w:sz w:val="18"/>
                <w:szCs w:val="18"/>
                <w:highlight w:val="green"/>
                <w:lang w:val="zh-CN"/>
              </w:rPr>
              <w:t>“</w:t>
            </w:r>
          </w:p>
          <w:p w:rsidR="001F4105" w:rsidRPr="00934C9C" w:rsidRDefault="001F4105" w:rsidP="00282568">
            <w:pPr>
              <w:rPr>
                <w:rFonts w:ascii="Arial" w:hAnsi="Arial"/>
                <w:sz w:val="22"/>
                <w:highlight w:val="green"/>
              </w:rPr>
            </w:pPr>
          </w:p>
        </w:tc>
      </w:tr>
      <w:tr w:rsidR="001425CD" w:rsidTr="00282568">
        <w:trPr>
          <w:trHeight w:val="740"/>
        </w:trPr>
        <w:tc>
          <w:tcPr>
            <w:tcW w:w="1147" w:type="pct"/>
          </w:tcPr>
          <w:p w:rsidR="001425CD" w:rsidRPr="00934C9C" w:rsidRDefault="001425CD" w:rsidP="00282568">
            <w:pPr>
              <w:rPr>
                <w:rFonts w:ascii="Arial" w:hAnsi="Arial"/>
                <w:sz w:val="22"/>
                <w:highlight w:val="green"/>
              </w:rPr>
            </w:pPr>
          </w:p>
        </w:tc>
        <w:tc>
          <w:tcPr>
            <w:tcW w:w="3853" w:type="pct"/>
            <w:shd w:val="clear" w:color="auto" w:fill="auto"/>
          </w:tcPr>
          <w:p w:rsidR="001425CD" w:rsidRPr="00934C9C" w:rsidRDefault="001425CD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934C9C">
              <w:rPr>
                <w:rFonts w:ascii="Arial" w:eastAsia="SimSun" w:hAnsi="Arial" w:hint="eastAsia"/>
                <w:sz w:val="22"/>
                <w:highlight w:val="green"/>
              </w:rPr>
              <w:t>保存</w:t>
            </w:r>
          </w:p>
        </w:tc>
      </w:tr>
    </w:tbl>
    <w:bookmarkEnd w:id="3"/>
    <w:bookmarkEnd w:id="4"/>
    <w:bookmarkEnd w:id="7"/>
    <w:bookmarkEnd w:id="8"/>
    <w:bookmarkEnd w:id="9"/>
    <w:p w:rsidR="001F4105" w:rsidRPr="00A8187C" w:rsidRDefault="001F4105" w:rsidP="001F4105">
      <w:pPr>
        <w:pStyle w:val="a3"/>
        <w:numPr>
          <w:ilvl w:val="0"/>
          <w:numId w:val="2"/>
        </w:numPr>
        <w:ind w:firstLineChars="0"/>
        <w:rPr>
          <w:rFonts w:eastAsia="SimHei"/>
          <w:sz w:val="24"/>
        </w:rPr>
      </w:pPr>
      <w:r w:rsidRPr="00A8187C">
        <w:rPr>
          <w:rFonts w:ascii="MingLiU" w:eastAsia="MingLiU" w:hAnsi="MingLiU" w:cs="MingLiU" w:hint="eastAsia"/>
          <w:sz w:val="24"/>
        </w:rPr>
        <w:t>业务规则</w:t>
      </w:r>
    </w:p>
    <w:p w:rsidR="001F4105" w:rsidRPr="009A2966" w:rsidRDefault="001F4105" w:rsidP="00004E62">
      <w:pPr>
        <w:wordWrap w:val="0"/>
        <w:ind w:right="420"/>
        <w:rPr>
          <w:rFonts w:ascii="Times New Roman" w:hAnsi="Times New Roman"/>
          <w:b/>
          <w:sz w:val="24"/>
          <w:szCs w:val="24"/>
        </w:rPr>
      </w:pP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1F4105" w:rsidRPr="002F6609" w:rsidTr="00934C9C">
        <w:trPr>
          <w:trHeight w:val="274"/>
        </w:trPr>
        <w:tc>
          <w:tcPr>
            <w:tcW w:w="1984" w:type="dxa"/>
            <w:shd w:val="clear" w:color="auto" w:fill="auto"/>
          </w:tcPr>
          <w:p w:rsidR="001F4105" w:rsidRPr="001162DE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8.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保存</w:t>
            </w:r>
          </w:p>
        </w:tc>
        <w:tc>
          <w:tcPr>
            <w:tcW w:w="6521" w:type="dxa"/>
            <w:shd w:val="clear" w:color="auto" w:fill="auto"/>
          </w:tcPr>
          <w:p w:rsidR="001F4105" w:rsidRPr="001162DE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B.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保存胶水条码的信息：</w:t>
            </w:r>
          </w:p>
          <w:p w:rsidR="001F4105" w:rsidRPr="001162DE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 xml:space="preserve">  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保存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product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和胶水条码的绑定关系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-- Insert Product_Part values(@prdid,@partno,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’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ATSN9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’, ’’, ’’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,@part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sn,’CA’,@user</w:t>
            </w:r>
          </w:p>
          <w:p w:rsidR="001F4105" w:rsidRPr="001162DE" w:rsidRDefault="001F4105" w:rsidP="00282568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,getdate(),getdate()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,BomNodelType,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CheckItemType’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)</w:t>
            </w:r>
          </w:p>
          <w:p w:rsidR="001F4105" w:rsidRPr="001162DE" w:rsidRDefault="001F4105" w:rsidP="001162DE">
            <w:pPr>
              <w:ind w:firstLineChars="100" w:firstLine="2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注：</w:t>
            </w:r>
          </w:p>
          <w:p w:rsidR="001F4105" w:rsidRPr="001162DE" w:rsidRDefault="001F4105" w:rsidP="001162DE">
            <w:pPr>
              <w:ind w:firstLineChars="100" w:firstLine="2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@partno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、</w:t>
            </w:r>
            <w:r w:rsidR="002F7CE9"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@partsn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为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PartNo in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（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bom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中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BomNodeType=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’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PL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’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）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and</w:t>
            </w:r>
          </w:p>
          <w:p w:rsidR="001F4105" w:rsidRPr="001162DE" w:rsidRDefault="001F4105" w:rsidP="001162DE">
            <w:pPr>
              <w:ind w:firstLineChars="100" w:firstLine="2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1162DE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Descr='ATSN9'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对应的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Pn</w:t>
            </w:r>
            <w:r w:rsidRPr="001162DE">
              <w:rPr>
                <w:rFonts w:ascii="Verdana" w:hAnsi="Verdana" w:hint="eastAsia"/>
                <w:color w:val="000000"/>
                <w:sz w:val="20"/>
                <w:szCs w:val="20"/>
                <w:highlight w:val="green"/>
              </w:rPr>
              <w:t>）</w:t>
            </w:r>
          </w:p>
          <w:p w:rsidR="001F4105" w:rsidRPr="001162DE" w:rsidRDefault="001F4105" w:rsidP="001162DE">
            <w:pPr>
              <w:ind w:firstLineChars="100" w:firstLine="2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</w:p>
          <w:p w:rsidR="001F4105" w:rsidRPr="001162DE" w:rsidRDefault="001F4105" w:rsidP="001162DE">
            <w:pPr>
              <w:ind w:firstLineChars="100" w:firstLine="200"/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</w:p>
        </w:tc>
      </w:tr>
    </w:tbl>
    <w:p w:rsidR="00004E62" w:rsidRPr="001F4105" w:rsidRDefault="00004E62" w:rsidP="00004E62">
      <w:pPr>
        <w:rPr>
          <w:lang w:val="es-ES"/>
        </w:rPr>
      </w:pPr>
    </w:p>
    <w:p w:rsidR="00004E62" w:rsidRPr="001F4105" w:rsidRDefault="00004E62" w:rsidP="00004E62">
      <w:pPr>
        <w:jc w:val="right"/>
        <w:rPr>
          <w:rFonts w:ascii="Times New Roman" w:hAnsi="Times New Roman"/>
          <w:b/>
          <w:sz w:val="52"/>
          <w:szCs w:val="52"/>
          <w:lang w:val="es-ES"/>
        </w:rPr>
      </w:pPr>
    </w:p>
    <w:bookmarkEnd w:id="5"/>
    <w:bookmarkEnd w:id="6"/>
    <w:p w:rsidR="00004E62" w:rsidRPr="001F4105" w:rsidRDefault="00004E62" w:rsidP="00004E62">
      <w:pPr>
        <w:jc w:val="right"/>
        <w:rPr>
          <w:rFonts w:ascii="Times New Roman" w:hAnsi="Times New Roman"/>
          <w:b/>
          <w:sz w:val="52"/>
          <w:szCs w:val="52"/>
          <w:lang w:val="es-ES"/>
        </w:rPr>
      </w:pPr>
    </w:p>
    <w:sectPr w:rsidR="00004E62" w:rsidRPr="001F4105" w:rsidSect="00111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53F" w:rsidRDefault="00B8053F" w:rsidP="00FF21AF">
      <w:r>
        <w:separator/>
      </w:r>
    </w:p>
  </w:endnote>
  <w:endnote w:type="continuationSeparator" w:id="1">
    <w:p w:rsidR="00B8053F" w:rsidRDefault="00B8053F" w:rsidP="00FF2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53F" w:rsidRDefault="00B8053F" w:rsidP="00FF21AF">
      <w:r>
        <w:separator/>
      </w:r>
    </w:p>
  </w:footnote>
  <w:footnote w:type="continuationSeparator" w:id="1">
    <w:p w:rsidR="00B8053F" w:rsidRDefault="00B8053F" w:rsidP="00FF2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175B8F"/>
    <w:multiLevelType w:val="hybridMultilevel"/>
    <w:tmpl w:val="E0C0DF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E62"/>
    <w:rsid w:val="00004E62"/>
    <w:rsid w:val="0011104A"/>
    <w:rsid w:val="001162DE"/>
    <w:rsid w:val="001425CD"/>
    <w:rsid w:val="00197240"/>
    <w:rsid w:val="001F4105"/>
    <w:rsid w:val="00207B70"/>
    <w:rsid w:val="002F7CE9"/>
    <w:rsid w:val="003C42B6"/>
    <w:rsid w:val="004B78A3"/>
    <w:rsid w:val="00517F18"/>
    <w:rsid w:val="00585F73"/>
    <w:rsid w:val="005B0591"/>
    <w:rsid w:val="00621B4E"/>
    <w:rsid w:val="006D0948"/>
    <w:rsid w:val="00782DC9"/>
    <w:rsid w:val="007A4694"/>
    <w:rsid w:val="00884539"/>
    <w:rsid w:val="00934C9C"/>
    <w:rsid w:val="009A2966"/>
    <w:rsid w:val="00A226C8"/>
    <w:rsid w:val="00B5261D"/>
    <w:rsid w:val="00B8053F"/>
    <w:rsid w:val="00BB2309"/>
    <w:rsid w:val="00C91A0C"/>
    <w:rsid w:val="00CF72D6"/>
    <w:rsid w:val="00D04643"/>
    <w:rsid w:val="00D869C1"/>
    <w:rsid w:val="00DC6617"/>
    <w:rsid w:val="00DE03FE"/>
    <w:rsid w:val="00EC24AE"/>
    <w:rsid w:val="00FC1F88"/>
    <w:rsid w:val="00FF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E62"/>
    <w:pPr>
      <w:widowControl w:val="0"/>
      <w:jc w:val="both"/>
    </w:pPr>
    <w:rPr>
      <w:rFonts w:ascii="Calibri" w:eastAsia="宋体" w:hAnsi="Calibri" w:cs="Times New Roman"/>
      <w:sz w:val="21"/>
      <w:lang w:eastAsia="zh-CN"/>
    </w:rPr>
  </w:style>
  <w:style w:type="paragraph" w:styleId="2">
    <w:name w:val="heading 2"/>
    <w:basedOn w:val="a"/>
    <w:next w:val="a"/>
    <w:link w:val="20"/>
    <w:qFormat/>
    <w:rsid w:val="00004E6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004E62"/>
    <w:rPr>
      <w:rFonts w:ascii="Cambria" w:eastAsia="宋体" w:hAnsi="Cambria" w:cs="Times New Roman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1F4105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4">
    <w:name w:val="header"/>
    <w:basedOn w:val="a"/>
    <w:link w:val="a5"/>
    <w:uiPriority w:val="99"/>
    <w:semiHidden/>
    <w:unhideWhenUsed/>
    <w:rsid w:val="00FF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F21AF"/>
    <w:rPr>
      <w:rFonts w:ascii="Calibri" w:eastAsia="宋体" w:hAnsi="Calibri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semiHidden/>
    <w:unhideWhenUsed/>
    <w:rsid w:val="00FF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F21AF"/>
    <w:rPr>
      <w:rFonts w:ascii="Calibri" w:eastAsia="宋体" w:hAnsi="Calibri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ies12cn74</dc:creator>
  <cp:lastModifiedBy>ies12cn74</cp:lastModifiedBy>
  <cp:revision>14</cp:revision>
  <dcterms:created xsi:type="dcterms:W3CDTF">2013-11-26T05:52:00Z</dcterms:created>
  <dcterms:modified xsi:type="dcterms:W3CDTF">2013-12-02T07:04:00Z</dcterms:modified>
</cp:coreProperties>
</file>