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53"/>
        <w:tblLayout w:type="fixed"/>
        <w:tblLook w:firstRow="1" w:lastRow="1" w:firstColumn="0" w:lastColumn="0" w:noHBand="0" w:noVBand="0" w:val="0020"/>
      </w:tblPr>
      <w:tblGrid>
        <w:gridCol w:w="2515"/>
        <w:gridCol w:w="792"/>
        <w:gridCol w:w="792"/>
        <w:gridCol w:w="838"/>
        <w:gridCol w:w="885"/>
        <w:gridCol w:w="931"/>
        <w:gridCol w:w="9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Trust H1</w:t>
            </w:r>
          </w:p>
        </w:tc>
        <w:tc>
          <w:tcPr/>
          <w:p>
            <w:pPr>
              <w:pStyle w:val="Compact"/>
            </w:pPr>
            <w:r>
              <w:t xml:space="preserve">Feel H2</w:t>
            </w:r>
          </w:p>
        </w:tc>
        <w:tc>
          <w:tcPr/>
          <w:p>
            <w:pPr>
              <w:pStyle w:val="Compact"/>
            </w:pPr>
            <w:r>
              <w:t xml:space="preserve">Trust H3a</w:t>
            </w:r>
          </w:p>
        </w:tc>
        <w:tc>
          <w:tcPr/>
          <w:p>
            <w:pPr>
              <w:pStyle w:val="Compact"/>
            </w:pPr>
            <w:r>
              <w:t xml:space="preserve">Feel H3b</w:t>
            </w:r>
          </w:p>
        </w:tc>
        <w:tc>
          <w:tcPr/>
          <w:p>
            <w:pPr>
              <w:pStyle w:val="Compact"/>
            </w:pPr>
            <w:r>
              <w:t xml:space="preserve">Trust H4a</w:t>
            </w:r>
          </w:p>
        </w:tc>
        <w:tc>
          <w:tcPr/>
          <w:p>
            <w:pPr>
              <w:pStyle w:val="Compact"/>
            </w:pPr>
            <w:r>
              <w:t xml:space="preserve">Feel H4b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Facial_Cuenegative</w:t>
            </w:r>
          </w:p>
        </w:tc>
        <w:tc>
          <w:tcPr/>
          <w:p>
            <w:pPr>
              <w:pStyle w:val="Compact"/>
            </w:pPr>
            <w:r>
              <w:t xml:space="preserve">-0.015 (0.013)</w:t>
            </w:r>
          </w:p>
        </w:tc>
        <w:tc>
          <w:tcPr/>
          <w:p>
            <w:pPr>
              <w:pStyle w:val="Compact"/>
            </w:pPr>
            <w:r>
              <w:t xml:space="preserve">-0.016 (0.017)</w:t>
            </w:r>
          </w:p>
        </w:tc>
        <w:tc>
          <w:tcPr/>
          <w:p>
            <w:pPr>
              <w:pStyle w:val="Compact"/>
            </w:pPr>
            <w:r>
              <w:t xml:space="preserve">-0.028 (0.022)</w:t>
            </w:r>
          </w:p>
        </w:tc>
        <w:tc>
          <w:tcPr/>
          <w:p>
            <w:pPr>
              <w:pStyle w:val="Compact"/>
            </w:pPr>
            <w:r>
              <w:t xml:space="preserve">-0.005 (0.026)</w:t>
            </w:r>
          </w:p>
        </w:tc>
        <w:tc>
          <w:tcPr/>
          <w:p>
            <w:pPr>
              <w:pStyle w:val="Compact"/>
            </w:pPr>
            <w:r>
              <w:t xml:space="preserve">-0.035 (0.022)</w:t>
            </w:r>
          </w:p>
        </w:tc>
        <w:tc>
          <w:tcPr/>
          <w:p>
            <w:pPr>
              <w:pStyle w:val="Compact"/>
            </w:pPr>
            <w:r>
              <w:t xml:space="preserve">-0.021 (0.030)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Facial_Cuepositive</w:t>
            </w:r>
          </w:p>
        </w:tc>
        <w:tc>
          <w:tcPr/>
          <w:p>
            <w:pPr>
              <w:pStyle w:val="Compact"/>
            </w:pPr>
            <w:r>
              <w:t xml:space="preserve">0.014 (0.013)</w:t>
            </w:r>
          </w:p>
        </w:tc>
        <w:tc>
          <w:tcPr/>
          <w:p>
            <w:pPr>
              <w:pStyle w:val="Compact"/>
            </w:pPr>
            <w:r>
              <w:t xml:space="preserve">0.019 (0.017)</w:t>
            </w:r>
          </w:p>
        </w:tc>
        <w:tc>
          <w:tcPr/>
          <w:p>
            <w:pPr>
              <w:pStyle w:val="Compact"/>
            </w:pPr>
            <w:r>
              <w:t xml:space="preserve">-0.026 (0.023)</w:t>
            </w:r>
          </w:p>
        </w:tc>
        <w:tc>
          <w:tcPr/>
          <w:p>
            <w:pPr>
              <w:pStyle w:val="Compact"/>
            </w:pPr>
            <w:r>
              <w:t xml:space="preserve">0.012 (0.026)</w:t>
            </w:r>
          </w:p>
        </w:tc>
        <w:tc>
          <w:tcPr/>
          <w:p>
            <w:pPr>
              <w:pStyle w:val="Compact"/>
            </w:pPr>
            <w:r>
              <w:t xml:space="preserve">0.018 (0.021)</w:t>
            </w:r>
          </w:p>
        </w:tc>
        <w:tc>
          <w:tcPr/>
          <w:p>
            <w:pPr>
              <w:pStyle w:val="Compact"/>
            </w:pPr>
            <w:r>
              <w:t xml:space="preserve">0.068* (0.030)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Elite_InPartyTRUE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-0.006 (0.023)</w:t>
            </w:r>
          </w:p>
        </w:tc>
        <w:tc>
          <w:tcPr/>
          <w:p>
            <w:pPr>
              <w:pStyle w:val="Compact"/>
            </w:pPr>
            <w:r>
              <w:t xml:space="preserve">0.316*** (0.026)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Facial_Cuenegative × Elite_InPartyTRUE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0.034 (0.031)</w:t>
            </w:r>
          </w:p>
        </w:tc>
        <w:tc>
          <w:tcPr/>
          <w:p>
            <w:pPr>
              <w:pStyle w:val="Compact"/>
            </w:pPr>
            <w:r>
              <w:t xml:space="preserve">0.017 (0.037)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Facial_Cuepositive × Elite_InPartyTRUE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0.093** (0.032)</w:t>
            </w:r>
          </w:p>
        </w:tc>
        <w:tc>
          <w:tcPr/>
          <w:p>
            <w:pPr>
              <w:pStyle w:val="Compact"/>
            </w:pPr>
            <w:r>
              <w:t xml:space="preserve">0.063 (0.037)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News_BiasBiasedAgainstInParty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-0.155*** (0.029)</w:t>
            </w:r>
          </w:p>
        </w:tc>
        <w:tc>
          <w:tcPr/>
          <w:p>
            <w:pPr>
              <w:pStyle w:val="Compact"/>
            </w:pPr>
            <w:r>
              <w:t xml:space="preserve">0.158*** (0.037)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News_BiasBiasedAgainstOutParty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0.011 (0.034)</w:t>
            </w:r>
          </w:p>
        </w:tc>
        <w:tc>
          <w:tcPr/>
          <w:p>
            <w:pPr>
              <w:pStyle w:val="Compact"/>
            </w:pPr>
            <w:r>
              <w:t xml:space="preserve">-0.182*** (0.038)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News_BiasBiasedTowardsInParty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-0.020 (0.033)</w:t>
            </w:r>
          </w:p>
        </w:tc>
        <w:tc>
          <w:tcPr/>
          <w:p>
            <w:pPr>
              <w:pStyle w:val="Compact"/>
            </w:pPr>
            <w:r>
              <w:t xml:space="preserve">0.177*** (0.041)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News_BiasBiasedTowardsOutParty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-0.174*** (0.030)</w:t>
            </w:r>
          </w:p>
        </w:tc>
        <w:tc>
          <w:tcPr/>
          <w:p>
            <w:pPr>
              <w:pStyle w:val="Compact"/>
            </w:pPr>
            <w:r>
              <w:t xml:space="preserve">-0.142*** (0.037)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Facial_Cuenegative × News_BiasBiasedAgainstInParty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-0.005 (0.046)</w:t>
            </w:r>
          </w:p>
        </w:tc>
        <w:tc>
          <w:tcPr/>
          <w:p>
            <w:pPr>
              <w:pStyle w:val="Compact"/>
            </w:pPr>
            <w:r>
              <w:t xml:space="preserve">-0.006 (0.054)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Facial_Cuepositive × News_BiasBiasedAgainstInParty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0.022 (0.043)</w:t>
            </w:r>
          </w:p>
        </w:tc>
        <w:tc>
          <w:tcPr/>
          <w:p>
            <w:pPr>
              <w:pStyle w:val="Compact"/>
            </w:pPr>
            <w:r>
              <w:t xml:space="preserve">-0.004 (0.052)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Facial_Cuenegative × News_BiasBiasedAgainstOutParty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0.017 (0.045)</w:t>
            </w:r>
          </w:p>
        </w:tc>
        <w:tc>
          <w:tcPr/>
          <w:p>
            <w:pPr>
              <w:pStyle w:val="Compact"/>
            </w:pPr>
            <w:r>
              <w:t xml:space="preserve">0.039 (0.050)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Facial_Cuepositive × News_BiasBiasedAgainstOutParty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-0.054 (0.044)</w:t>
            </w:r>
          </w:p>
        </w:tc>
        <w:tc>
          <w:tcPr/>
          <w:p>
            <w:pPr>
              <w:pStyle w:val="Compact"/>
            </w:pPr>
            <w:r>
              <w:t xml:space="preserve">-0.067 (0.051)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Facial_Cuenegative × News_BiasBiasedTowardsInParty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0.115** (0.044)</w:t>
            </w:r>
          </w:p>
        </w:tc>
        <w:tc>
          <w:tcPr/>
          <w:p>
            <w:pPr>
              <w:pStyle w:val="Compact"/>
            </w:pPr>
            <w:r>
              <w:t xml:space="preserve">0.097 (0.056)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Facial_Cuepositive × News_BiasBiasedTowardsInParty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0.047 (0.046)</w:t>
            </w:r>
          </w:p>
        </w:tc>
        <w:tc>
          <w:tcPr/>
          <w:p>
            <w:pPr>
              <w:pStyle w:val="Compact"/>
            </w:pPr>
            <w:r>
              <w:t xml:space="preserve">-0.047 (0.056)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Facial_Cuenegative × News_BiasBiasedTowardsOutParty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0.034 (0.045)</w:t>
            </w:r>
          </w:p>
        </w:tc>
        <w:tc>
          <w:tcPr/>
          <w:p>
            <w:pPr>
              <w:pStyle w:val="Compact"/>
            </w:pPr>
            <w:r>
              <w:t xml:space="preserve">-0.024 (0.053)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Facial_Cuepositive × News_BiasBiasedTowardsOutParty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0.015 (0.044)</w:t>
            </w:r>
          </w:p>
        </w:tc>
        <w:tc>
          <w:tcPr/>
          <w:p>
            <w:pPr>
              <w:pStyle w:val="Compact"/>
            </w:pPr>
            <w:r>
              <w:t xml:space="preserve">-0.086 (0.054)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2361</w:t>
            </w:r>
          </w:p>
        </w:tc>
        <w:tc>
          <w:tcPr/>
          <w:p>
            <w:pPr>
              <w:pStyle w:val="Compact"/>
            </w:pPr>
            <w:r>
              <w:t xml:space="preserve">2361</w:t>
            </w:r>
          </w:p>
        </w:tc>
        <w:tc>
          <w:tcPr/>
          <w:p>
            <w:pPr>
              <w:pStyle w:val="Compact"/>
            </w:pPr>
            <w:r>
              <w:t xml:space="preserve">1883</w:t>
            </w:r>
          </w:p>
        </w:tc>
        <w:tc>
          <w:tcPr/>
          <w:p>
            <w:pPr>
              <w:pStyle w:val="Compact"/>
            </w:pPr>
            <w:r>
              <w:t xml:space="preserve">1883</w:t>
            </w:r>
          </w:p>
        </w:tc>
        <w:tc>
          <w:tcPr/>
          <w:p>
            <w:pPr>
              <w:pStyle w:val="Compact"/>
            </w:pPr>
            <w:r>
              <w:t xml:space="preserve">2046</w:t>
            </w:r>
          </w:p>
        </w:tc>
        <w:tc>
          <w:tcPr/>
          <w:p>
            <w:pPr>
              <w:pStyle w:val="Compact"/>
            </w:pPr>
            <w:r>
              <w:t xml:space="preserve">2046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0.586</w:t>
            </w:r>
          </w:p>
        </w:tc>
        <w:tc>
          <w:tcPr/>
          <w:p>
            <w:pPr>
              <w:pStyle w:val="Compact"/>
            </w:pPr>
            <w:r>
              <w:t xml:space="preserve">0.452</w:t>
            </w:r>
          </w:p>
        </w:tc>
        <w:tc>
          <w:tcPr/>
          <w:p>
            <w:pPr>
              <w:pStyle w:val="Compact"/>
            </w:pPr>
            <w:r>
              <w:t xml:space="preserve">0.637</w:t>
            </w:r>
          </w:p>
        </w:tc>
        <w:tc>
          <w:tcPr/>
          <w:p>
            <w:pPr>
              <w:pStyle w:val="Compact"/>
            </w:pPr>
            <w:r>
              <w:t xml:space="preserve">0.675</w:t>
            </w:r>
          </w:p>
        </w:tc>
        <w:tc>
          <w:tcPr/>
          <w:p>
            <w:pPr>
              <w:pStyle w:val="Compact"/>
            </w:pPr>
            <w:r>
              <w:t xml:space="preserve">0.662</w:t>
            </w:r>
          </w:p>
        </w:tc>
        <w:tc>
          <w:tcPr/>
          <w:p>
            <w:pPr>
              <w:pStyle w:val="Compact"/>
            </w:pPr>
            <w:r>
              <w:t xml:space="preserve">0.601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0.377</w:t>
            </w:r>
          </w:p>
        </w:tc>
        <w:tc>
          <w:tcPr/>
          <w:p>
            <w:pPr>
              <w:pStyle w:val="Compact"/>
            </w:pPr>
            <w:r>
              <w:t xml:space="preserve">0.175</w:t>
            </w:r>
          </w:p>
        </w:tc>
        <w:tc>
          <w:tcPr/>
          <w:p>
            <w:pPr>
              <w:pStyle w:val="Compact"/>
            </w:pPr>
            <w:r>
              <w:t xml:space="preserve">0.373</w:t>
            </w:r>
          </w:p>
        </w:tc>
        <w:tc>
          <w:tcPr/>
          <w:p>
            <w:pPr>
              <w:pStyle w:val="Compact"/>
            </w:pPr>
            <w:r>
              <w:t xml:space="preserve">0.439</w:t>
            </w:r>
          </w:p>
        </w:tc>
        <w:tc>
          <w:tcPr/>
          <w:p>
            <w:pPr>
              <w:pStyle w:val="Compact"/>
            </w:pPr>
            <w:r>
              <w:t xml:space="preserve">0.444</w:t>
            </w:r>
          </w:p>
        </w:tc>
        <w:tc>
          <w:tcPr/>
          <w:p>
            <w:pPr>
              <w:pStyle w:val="Compact"/>
            </w:pPr>
            <w:r>
              <w:t xml:space="preserve">0.344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113.9</w:t>
            </w:r>
          </w:p>
        </w:tc>
        <w:tc>
          <w:tcPr/>
          <w:p>
            <w:pPr>
              <w:pStyle w:val="Compact"/>
            </w:pPr>
            <w:r>
              <w:t xml:space="preserve">1379.0</w:t>
            </w:r>
          </w:p>
        </w:tc>
        <w:tc>
          <w:tcPr/>
          <w:p>
            <w:pPr>
              <w:pStyle w:val="Compact"/>
            </w:pPr>
            <w:r>
              <w:t xml:space="preserve">231.5</w:t>
            </w:r>
          </w:p>
        </w:tc>
        <w:tc>
          <w:tcPr/>
          <w:p>
            <w:pPr>
              <w:pStyle w:val="Compact"/>
            </w:pPr>
            <w:r>
              <w:t xml:space="preserve">562.7</w:t>
            </w:r>
          </w:p>
        </w:tc>
        <w:tc>
          <w:tcPr/>
          <w:p>
            <w:pPr>
              <w:pStyle w:val="Compact"/>
            </w:pPr>
            <w:r>
              <w:t xml:space="preserve">-29.3</w:t>
            </w:r>
          </w:p>
        </w:tc>
        <w:tc>
          <w:tcPr/>
          <w:p>
            <w:pPr>
              <w:pStyle w:val="Compact"/>
            </w:pPr>
            <w:r>
              <w:t xml:space="preserve">868.1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4692.8</w:t>
            </w:r>
          </w:p>
        </w:tc>
        <w:tc>
          <w:tcPr/>
          <w:p>
            <w:pPr>
              <w:pStyle w:val="Compact"/>
            </w:pPr>
            <w:r>
              <w:t xml:space="preserve">5957.9</w:t>
            </w:r>
          </w:p>
        </w:tc>
        <w:tc>
          <w:tcPr/>
          <w:p>
            <w:pPr>
              <w:pStyle w:val="Compact"/>
            </w:pPr>
            <w:r>
              <w:t xml:space="preserve">4630.8</w:t>
            </w:r>
          </w:p>
        </w:tc>
        <w:tc>
          <w:tcPr/>
          <w:p>
            <w:pPr>
              <w:pStyle w:val="Compact"/>
            </w:pPr>
            <w:r>
              <w:t xml:space="preserve">4962.0</w:t>
            </w:r>
          </w:p>
        </w:tc>
        <w:tc>
          <w:tcPr/>
          <w:p>
            <w:pPr>
              <w:pStyle w:val="Compact"/>
            </w:pPr>
            <w:r>
              <w:t xml:space="preserve">4492.1</w:t>
            </w:r>
          </w:p>
        </w:tc>
        <w:tc>
          <w:tcPr/>
          <w:p>
            <w:pPr>
              <w:pStyle w:val="Compact"/>
            </w:pPr>
            <w:r>
              <w:t xml:space="preserve">5389.5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0.17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Std.Errors</w:t>
            </w:r>
          </w:p>
        </w:tc>
        <w:tc>
          <w:tcPr/>
          <w:p>
            <w:pPr>
              <w:pStyle w:val="Compact"/>
            </w:pPr>
            <w:r>
              <w:t xml:space="preserve">by: PID</w:t>
            </w:r>
          </w:p>
        </w:tc>
        <w:tc>
          <w:tcPr/>
          <w:p>
            <w:pPr>
              <w:pStyle w:val="Compact"/>
            </w:pPr>
            <w:r>
              <w:t xml:space="preserve">by: PID</w:t>
            </w:r>
          </w:p>
        </w:tc>
        <w:tc>
          <w:tcPr/>
          <w:p>
            <w:pPr>
              <w:pStyle w:val="Compact"/>
            </w:pPr>
            <w:r>
              <w:t xml:space="preserve">by: PID</w:t>
            </w:r>
          </w:p>
        </w:tc>
        <w:tc>
          <w:tcPr/>
          <w:p>
            <w:pPr>
              <w:pStyle w:val="Compact"/>
            </w:pPr>
            <w:r>
              <w:t xml:space="preserve">by: PID</w:t>
            </w:r>
          </w:p>
        </w:tc>
        <w:tc>
          <w:tcPr/>
          <w:p>
            <w:pPr>
              <w:pStyle w:val="Compact"/>
            </w:pPr>
            <w:r>
              <w:t xml:space="preserve">by: PID</w:t>
            </w:r>
          </w:p>
        </w:tc>
        <w:tc>
          <w:tcPr/>
          <w:p>
            <w:pPr>
              <w:pStyle w:val="Compact"/>
            </w:pPr>
            <w:r>
              <w:t xml:space="preserve">by: PID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p-values: * &lt; 0.05 ** &lt; 0.01 ***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2026-09-14T17:22:14Z</dcterms:created>
  <dcterms:modified xsi:type="dcterms:W3CDTF">2026-09-14T17:22:14Z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