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A1A2E"/>
          <w:sz w:val="44"/>
        </w:rPr>
        <w:t>WRASAL CINEMATIC TREATMENT</w:t>
      </w:r>
      <w:r>
        <w:rPr>
          <w:rFonts w:ascii="Calibri" w:hAnsi="Calibri"/>
          <w:b/>
          <w:color w:val="C0392B"/>
          <w:sz w:val="36"/>
        </w:rPr>
        <w:br/>
        <w:t>BROTHERS OF THE BLOOD CLOTH</w:t>
      </w:r>
    </w:p>
    <w:p>
      <w:pPr>
        <w:jc w:val="center"/>
      </w:pPr>
      <w:r>
        <w:rPr>
          <w:rFonts w:ascii="Calibri" w:hAnsi="Calibri"/>
          <w:i/>
          <w:color w:val="95A5A6"/>
          <w:sz w:val="18"/>
        </w:rPr>
        <w:t>The Invocation — Trailer 001  •  105 Seconds  •  2.39:1  •  Jamaica  1980s / 2026</w:t>
      </w:r>
    </w:p>
    <w:p>
      <w:pPr>
        <w:jc w:val="center"/>
      </w:pPr>
      <w:r>
        <w:rPr>
          <w:rFonts w:ascii="Calibri" w:hAnsi="Calibri"/>
          <w:color w:val="95A5A6"/>
          <w:sz w:val="14"/>
        </w:rPr>
        <w:t>Mission WO-WRASAL-BOTBC-GM-001  •  WRASAL Executive Creative Production System  •  2026-10-23</w:t>
      </w:r>
    </w:p>
    <w:p>
      <w:pPr>
        <w:spacing w:after="80" w:line="276" w:lineRule="auto"/>
        <w:jc w:val="left"/>
      </w:pPr>
      <w:r>
        <w:rPr>
          <w:rFonts w:ascii="Calibri" w:hAnsi="Calibri"/>
          <w:b w:val="0"/>
          <w:i w:val="0"/>
          <w:color w:val="1A1A2E"/>
          <w:sz w:val="4"/>
        </w:rPr>
      </w:r>
    </w:p>
    <w:p>
      <w:pPr>
        <w:jc w:val="center"/>
      </w:pPr>
      <w:r>
        <w:rPr>
          <w:rFonts w:ascii="Calibri" w:hAnsi="Calibri"/>
          <w:b/>
          <w:i/>
          <w:color w:val="C0392B"/>
          <w:sz w:val="14"/>
        </w:rPr>
        <w:t>REALITY FIRST. TECHNOLOGY SECOND.  •  THE CAMERA IS A WITNESS, NOT A MAGICIAN.  •  THE GENRE CHANGES WHEN THE AUDIENCE'S UNDERSTANDING CHANGES.</w:t>
      </w:r>
    </w:p>
    <w:p/>
    <w:p>
      <w:pPr>
        <w:pStyle w:val="Heading2"/>
        <w:jc w:val="left"/>
        <w:pBdr>
          <w:bottom w:val="single" w:sz="6" w:space="4" w:color="C0392B"/>
        </w:pBdr>
      </w:pPr>
      <w:r>
        <w:rPr>
          <w:rFonts w:ascii="Calibri" w:hAnsi="Calibri"/>
          <w:b/>
          <w:color w:val="95A5A6"/>
          <w:sz w:val="18"/>
        </w:rPr>
        <w:t>How to Use This Template — Reusable vs Example</w:t>
      </w:r>
    </w:p>
    <w:p>
      <w:pPr>
        <w:spacing w:after="80" w:line="276" w:lineRule="auto"/>
        <w:jc w:val="left"/>
      </w:pPr>
      <w:r>
        <w:rPr>
          <w:rFonts w:ascii="Calibri" w:hAnsi="Calibri"/>
          <w:b w:val="0"/>
          <w:i/>
          <w:color w:val="95A5A6"/>
          <w:sz w:val="16"/>
        </w:rPr>
        <w:t>REUSABLE [TEMPLATE]: Section headings, narrative prompts, tone questions, development scaffolding — keep for any film. PROJECT-SPECIFIC [EXAMPLE: BOTBC]: All story details (names, logline, Jamaican specificity, shirt mythology) — replace with your film. The treatment's job is to make you answer — before camera rolls — what your film believes about reality, and where it withholds certainty.</w:t>
      </w:r>
    </w:p>
    <w:p>
      <w:pPr>
        <w:pStyle w:val="Heading2"/>
        <w:jc w:val="left"/>
        <w:pBdr>
          <w:bottom w:val="single" w:sz="6" w:space="4" w:color="C0392B"/>
        </w:pBdr>
      </w:pPr>
      <w:r>
        <w:rPr>
          <w:rFonts w:ascii="Calibri" w:hAnsi="Calibri"/>
          <w:b/>
          <w:color w:val="C0392B"/>
          <w:sz w:val="22"/>
        </w:rPr>
        <w:t>Logline</w:t>
      </w:r>
    </w:p>
    <w:p>
      <w:pPr>
        <w:spacing w:after="80" w:line="276" w:lineRule="auto"/>
        <w:jc w:val="left"/>
      </w:pPr>
      <w:r>
        <w:rPr>
          <w:rFonts w:ascii="Calibri" w:hAnsi="Calibri"/>
          <w:b w:val="0"/>
          <w:i w:val="0"/>
          <w:color w:val="1A1A2E"/>
          <w:sz w:val="18"/>
        </w:rPr>
        <w:t>At Desmond's funeral, Matthew's eulogy joke triggers a laughter that doesn't belong. Between 1980s Kingston and present-day Jamaica, a white shirt's impossible red stitching forces three sisters and four brothers — bound by one father and three mothers — to confront whether their father's legacy is memory, mystery, or duppy. The trailer answers none of these — it teaches the audience to re-listen to what they already heard.</w:t>
      </w:r>
    </w:p>
    <w:p>
      <w:pPr>
        <w:pStyle w:val="Heading2"/>
        <w:jc w:val="left"/>
        <w:pBdr>
          <w:bottom w:val="single" w:sz="6" w:space="4" w:color="C0392B"/>
        </w:pBdr>
      </w:pPr>
      <w:r>
        <w:rPr>
          <w:rFonts w:ascii="Calibri" w:hAnsi="Calibri"/>
          <w:b/>
          <w:color w:val="C0392B"/>
          <w:sz w:val="22"/>
        </w:rPr>
        <w:t>Genre Engine — Why Genre Changes Mid-Trailer</w:t>
      </w:r>
    </w:p>
    <w:p>
      <w:pPr>
        <w:spacing w:after="80" w:line="276" w:lineRule="auto"/>
        <w:jc w:val="left"/>
      </w:pPr>
      <w:r>
        <w:rPr>
          <w:rFonts w:ascii="Calibri" w:hAnsi="Calibri"/>
          <w:b w:val="0"/>
          <w:i w:val="0"/>
          <w:color w:val="1A1A2E"/>
          <w:sz w:val="18"/>
        </w:rPr>
        <w:t>The film begins as Jamaican family tragicomedy — warm funeral, communal laughter, recognition humor. It becomes domestic mystery when Ione discovers the white thread over her blue stitching — evidence that arouses suspicion. It becomes Jamaican Gothic horror when the red thread moves (SH020) — the image of an impossible event, held by a witness camera that refuses to cut away. It becomes supernatural attribution crisis when the Reader Man questions whether this is Desmond — and declines to answer. Genre is not a production category here; it is the audience's evolving hypothesis about what kind of world they are in.</w:t>
      </w:r>
    </w:p>
    <w:p>
      <w:pPr>
        <w:spacing w:after="80" w:line="276" w:lineRule="auto"/>
        <w:jc w:val="left"/>
      </w:pPr>
      <w:r>
        <w:rPr>
          <w:rFonts w:ascii="Calibri" w:hAnsi="Calibri"/>
          <w:b w:val="0"/>
          <w:i w:val="0"/>
          <w:color w:val="1A1A2E"/>
          <w:sz w:val="18"/>
        </w:rPr>
        <w:t>Each shift is designed to be *understood by the audience* as a shift in understanding — not as a lurch in tone. That is our governing doctrine: 'The genre changes when the audience's understanding changes.' The editor enforces this by reusing the same laughter (SH007→SH031) with new information — the audience re-enters the funeral hearing differently.</w:t>
      </w:r>
    </w:p>
    <w:p>
      <w:pPr>
        <w:pStyle w:val="Heading2"/>
        <w:jc w:val="left"/>
        <w:pBdr>
          <w:bottom w:val="single" w:sz="6" w:space="4" w:color="C0392B"/>
        </w:pBdr>
      </w:pPr>
      <w:r>
        <w:rPr>
          <w:rFonts w:ascii="Calibri" w:hAnsi="Calibri"/>
          <w:b/>
          <w:color w:val="C0392B"/>
          <w:sz w:val="22"/>
        </w:rPr>
        <w:t>Themes — What The Film Believes (and What It Withholds)</w:t>
      </w:r>
    </w:p>
    <w:p>
      <w:pPr>
        <w:pStyle w:val="ListBullet"/>
        <w:spacing w:after="80"/>
      </w:pPr>
      <w:r>
        <w:rPr>
          <w:rFonts w:ascii="Calibri" w:hAnsi="Calibri"/>
          <w:color w:val="1A1A2E"/>
          <w:sz w:val="18"/>
        </w:rPr>
        <w:t>Memory as Evidence — “,The shirt is the only archive that doesn't lie — until it does.” The film treats memory, fabric, and communal recall as competing evidentiary regimes. The white shirt is the one object that should settle the past — and it instead deepens it.</w:t>
      </w:r>
    </w:p>
    <w:p>
      <w:pPr>
        <w:pStyle w:val="ListBullet"/>
        <w:spacing w:after="80"/>
      </w:pPr>
      <w:r>
        <w:rPr>
          <w:rFonts w:ascii="Calibri" w:hAnsi="Calibri"/>
          <w:color w:val="1A1A2E"/>
          <w:sz w:val="18"/>
        </w:rPr>
        <w:t>Paternity as Social Fact — Four brothers, three mothers, one father is not biology trivia; it is a social form. The typographic card (SH032) makes kinship visible before anyone explains it — the audience's curiosity about mothers is intentional and unresolved.</w:t>
      </w:r>
    </w:p>
    <w:p>
      <w:pPr>
        <w:pStyle w:val="ListBullet"/>
        <w:spacing w:after="80"/>
      </w:pPr>
      <w:r>
        <w:rPr>
          <w:rFonts w:ascii="Calibri" w:hAnsi="Calibri"/>
          <w:color w:val="1A1A2E"/>
          <w:sz w:val="18"/>
        </w:rPr>
        <w:t>Duppy as Unresolved Presence — Desmond may have become a duppy within the storyworld — but the *identity* of the presence remains unresolved in the trailer by constitutional design. The film refuses to let folklore explain the anomaly and refuses to invent garment-based supernatural folklore as if it were historical Jamaican tradition. The red thread is a FICTIONAL storyworld invention — clearly labeled as such in every artifact.</w:t>
      </w:r>
    </w:p>
    <w:p>
      <w:pPr>
        <w:pStyle w:val="ListBullet"/>
        <w:spacing w:after="80"/>
      </w:pPr>
      <w:r>
        <w:rPr>
          <w:rFonts w:ascii="Calibri" w:hAnsi="Calibri"/>
          <w:color w:val="1A1A2E"/>
          <w:sz w:val="18"/>
        </w:rPr>
        <w:t>Inference vs Proof — Ione's suspicion (white over blue) is a clue, not proof of infidelity. The trailer models epistemology: a second stitch arouses a question; a moving thread defeats an answer. The Reader Man embodies this ethic — he questions attribution precisely where the audience wants certainty.</w:t>
      </w:r>
    </w:p>
    <w:p>
      <w:pPr>
        <w:pStyle w:val="Heading2"/>
        <w:jc w:val="left"/>
        <w:pBdr>
          <w:bottom w:val="single" w:sz="6" w:space="4" w:color="C0392B"/>
        </w:pBdr>
      </w:pPr>
      <w:r>
        <w:rPr>
          <w:rFonts w:ascii="Calibri" w:hAnsi="Calibri"/>
          <w:b/>
          <w:color w:val="C0392B"/>
          <w:sz w:val="22"/>
        </w:rPr>
        <w:t>The Opening Line — Cultural Stewardship</w:t>
      </w:r>
    </w:p>
    <w:p>
      <w:pPr>
        <w:spacing w:after="80" w:line="276" w:lineRule="auto"/>
        <w:jc w:val="left"/>
      </w:pPr>
      <w:r>
        <w:rPr>
          <w:rFonts w:ascii="Calibri" w:hAnsi="Calibri"/>
          <w:b w:val="0"/>
          <w:i w:val="0"/>
          <w:color w:val="1A1A2E"/>
          <w:sz w:val="18"/>
        </w:rPr>
        <w:t>The first intelligible dialogue is Matthew's delivery, from the pulpit, of Desmond's beloved community pickup line: "Hi nice lady, can I get a sex out of your tight vagina?" The line originates in a user-reported family oral-history anecdote about a gentleman from a Jamaican community. Within the fictional trailer, Matthew recounts it as a humorous memory associated with Desmond — three women recognize it and laugh.</w:t>
      </w:r>
    </w:p>
    <w:p>
      <w:pPr>
        <w:spacing w:after="80" w:line="276" w:lineRule="auto"/>
        <w:jc w:val="left"/>
      </w:pPr>
      <w:r>
        <w:rPr>
          <w:rFonts w:ascii="Calibri" w:hAnsi="Calibri"/>
          <w:b w:val="0"/>
          <w:i/>
          <w:color w:val="1A1A2E"/>
          <w:sz w:val="18"/>
        </w:rPr>
        <w:t>Stewardship note: This line must never be attributed to the user's actual father in any artifact or direction. Within fiction, it is Desmond-associated memory. The line is delivered — by direction — with affection, not crudeness; communal recognition, not shock. Its function is tragicomedy, not transgression; it establishes that the community laughed *together* at a story that belongs to a period masculinity now being mourned. Women's laughter establishes agency — they recognize, they are not objects.</w:t>
      </w:r>
    </w:p>
    <w:p>
      <w:pPr>
        <w:spacing w:after="80" w:line="276" w:lineRule="auto"/>
        <w:jc w:val="left"/>
      </w:pPr>
      <w:r>
        <w:rPr>
          <w:rFonts w:ascii="Calibri" w:hAnsi="Calibri"/>
          <w:b w:val="0"/>
          <w:i w:val="0"/>
          <w:color w:val="95A5A6"/>
          <w:sz w:val="16"/>
        </w:rPr>
        <w:t>Validator gate T10 ensures no artifact presents the invented garment-based mechanism (red thread) as historical Jamaican folklore; likewise here, the line's community-anecdote provenance is distinguished from Desmond's fictional biography. Cultural consultant review is required before picture lock.</w:t>
      </w:r>
    </w:p>
    <w:p>
      <w:pPr>
        <w:pStyle w:val="Heading2"/>
        <w:jc w:val="left"/>
        <w:pBdr>
          <w:bottom w:val="single" w:sz="6" w:space="4" w:color="C0392B"/>
        </w:pBdr>
      </w:pPr>
      <w:r>
        <w:rPr>
          <w:rFonts w:ascii="Calibri" w:hAnsi="Calibri"/>
          <w:b/>
          <w:color w:val="C0392B"/>
          <w:sz w:val="22"/>
        </w:rPr>
        <w:t>Tone &amp; Reference Touchstones</w:t>
      </w:r>
    </w:p>
    <w:p>
      <w:pPr>
        <w:spacing w:after="80" w:line="276" w:lineRule="auto"/>
        <w:jc w:val="left"/>
      </w:pPr>
      <w:r>
        <w:rPr>
          <w:rFonts w:ascii="Calibri" w:hAnsi="Calibri"/>
          <w:b w:val="0"/>
          <w:i w:val="0"/>
          <w:color w:val="1A1A2E"/>
          <w:sz w:val="18"/>
        </w:rPr>
        <w:t>Tone: Tragicomic warmth that does not protect the audience from mystery — not horror pastich. References (tone, not imitation): the communal funerary humor of early Horace Ové + the forensic object attention of a forensic still-life (think Marker's 'Sans Soleil' object gaze) + the threshold horror of Caribbean Gothic (not American jumpscare). The camera remains a witness — no motivated horror color, no unmotivated moves.</w:t>
      </w:r>
    </w:p>
    <w:p>
      <w:pPr>
        <w:pStyle w:val="Heading2"/>
        <w:jc w:val="left"/>
        <w:pBdr>
          <w:bottom w:val="single" w:sz="6" w:space="4" w:color="C0392B"/>
        </w:pBdr>
      </w:pPr>
      <w:r>
        <w:rPr>
          <w:rFonts w:ascii="Calibri" w:hAnsi="Calibri"/>
          <w:b/>
          <w:color w:val="C0392B"/>
          <w:sz w:val="22"/>
        </w:rPr>
        <w:t>Structure — 105 Seconds in Four Acts</w:t>
      </w:r>
    </w:p>
    <w:tbl>
      <w:tblPr>
        <w:tblStyle w:val="LightShading"/>
        <w:tblW w:type="auto" w:w="0"/>
        <w:tblLook w:firstColumn="1" w:firstRow="1" w:lastColumn="0" w:lastRow="0" w:noHBand="0" w:noVBand="1" w:val="04A0"/>
      </w:tblPr>
      <w:tblGrid>
        <w:gridCol w:w="2484"/>
        <w:gridCol w:w="2484"/>
        <w:gridCol w:w="2484"/>
        <w:gridCol w:w="2484"/>
      </w:tblGrid>
      <w:tr>
        <w:tc>
          <w:tcPr>
            <w:tcW w:type="dxa" w:w="2484"/>
            <w:shd w:fill="1A1A2E"/>
          </w:tcPr>
          <w:p>
            <w:pPr>
              <w:spacing w:after="40"/>
              <w:jc w:val="left"/>
            </w:pPr>
            <w:r>
              <w:rPr>
                <w:rFonts w:ascii="Calibri" w:hAnsi="Calibri"/>
                <w:b/>
                <w:i w:val="0"/>
                <w:color w:val="FFFFFF"/>
                <w:sz w:val="14"/>
              </w:rPr>
              <w:t>ACT I — Elegy (Tragicomedy) 00:00–00:20</w:t>
            </w:r>
          </w:p>
        </w:tc>
        <w:tc>
          <w:tcPr>
            <w:tcW w:type="dxa" w:w="2484"/>
            <w:shd w:fill="1A1A2E"/>
          </w:tcPr>
          <w:p>
            <w:pPr>
              <w:spacing w:after="40"/>
              <w:jc w:val="left"/>
            </w:pPr>
            <w:r>
              <w:rPr>
                <w:rFonts w:ascii="Calibri" w:hAnsi="Calibri"/>
                <w:b/>
                <w:i w:val="0"/>
                <w:color w:val="FFFFFF"/>
                <w:sz w:val="14"/>
              </w:rPr>
              <w:t>ACT II — Inquiry (Mystery) 00:20–00:51</w:t>
            </w:r>
          </w:p>
        </w:tc>
        <w:tc>
          <w:tcPr>
            <w:tcW w:type="dxa" w:w="2484"/>
            <w:shd w:fill="1A1A2E"/>
          </w:tcPr>
          <w:p>
            <w:pPr>
              <w:spacing w:after="40"/>
              <w:jc w:val="left"/>
            </w:pPr>
            <w:r>
              <w:rPr>
                <w:rFonts w:ascii="Calibri" w:hAnsi="Calibri"/>
                <w:b/>
                <w:i w:val="0"/>
                <w:color w:val="FFFFFF"/>
                <w:sz w:val="14"/>
              </w:rPr>
              <w:t>ACT III — Uncanny (Gothic) 00:51–01:17</w:t>
            </w:r>
          </w:p>
        </w:tc>
        <w:tc>
          <w:tcPr>
            <w:tcW w:type="dxa" w:w="2484"/>
            <w:shd w:fill="1A1A2E"/>
          </w:tcPr>
          <w:p>
            <w:pPr>
              <w:spacing w:after="40"/>
              <w:jc w:val="left"/>
            </w:pPr>
            <w:r>
              <w:rPr>
                <w:rFonts w:ascii="Calibri" w:hAnsi="Calibri"/>
                <w:b/>
                <w:i w:val="0"/>
                <w:color w:val="FFFFFF"/>
                <w:sz w:val="14"/>
              </w:rPr>
              <w:t>ACT IV — Attribution Crisis 01:17–01:45</w:t>
            </w:r>
          </w:p>
        </w:tc>
      </w:tr>
      <w:tr>
        <w:tc>
          <w:tcPr>
            <w:tcW w:type="dxa" w:w="2484"/>
          </w:tcPr>
          <w:p>
            <w:pPr>
              <w:spacing w:after="40"/>
              <w:jc w:val="left"/>
            </w:pPr>
            <w:r>
              <w:rPr>
                <w:rFonts w:ascii="Calibri" w:hAnsi="Calibri"/>
                <w:b w:val="0"/>
                <w:i w:val="0"/>
                <w:color w:val="1A1A2E"/>
                <w:sz w:val="14"/>
              </w:rPr>
              <w:t>SH001–008: Black invocation → church laughter (SH007 fourth masked) → Matthew bridge</w:t>
            </w:r>
          </w:p>
        </w:tc>
        <w:tc>
          <w:tcPr>
            <w:tcW w:type="dxa" w:w="2484"/>
          </w:tcPr>
          <w:p>
            <w:pPr>
              <w:spacing w:after="40"/>
              <w:jc w:val="left"/>
            </w:pPr>
            <w:r>
              <w:rPr>
                <w:rFonts w:ascii="Calibri" w:hAnsi="Calibri"/>
                <w:b w:val="0"/>
                <w:i w:val="0"/>
                <w:color w:val="1A1A2E"/>
                <w:sz w:val="14"/>
              </w:rPr>
              <w:t>SH009–017: 1980s Desmond dressing → Ione's blue stitch (SH013) → white over blue discovered (SH014 suspicion) → inquiry</w:t>
            </w:r>
          </w:p>
        </w:tc>
        <w:tc>
          <w:tcPr>
            <w:tcW w:type="dxa" w:w="2484"/>
          </w:tcPr>
          <w:p>
            <w:pPr>
              <w:spacing w:after="40"/>
              <w:jc w:val="left"/>
            </w:pPr>
            <w:r>
              <w:rPr>
                <w:rFonts w:ascii="Calibri" w:hAnsi="Calibri"/>
                <w:b w:val="0"/>
                <w:i w:val="0"/>
                <w:color w:val="1A1A2E"/>
                <w:sz w:val="14"/>
              </w:rPr>
              <w:t>SH018–026: Present Yvonne handles aged shirt → red revealed (SH019) → red retracts impossibly (SH020) → reactions → voices → Reader enters</w:t>
            </w:r>
          </w:p>
        </w:tc>
        <w:tc>
          <w:tcPr>
            <w:tcW w:type="dxa" w:w="2484"/>
          </w:tcPr>
          <w:p>
            <w:pPr>
              <w:spacing w:after="40"/>
              <w:jc w:val="left"/>
            </w:pPr>
            <w:r>
              <w:rPr>
                <w:rFonts w:ascii="Calibri" w:hAnsi="Calibri"/>
                <w:b w:val="0"/>
                <w:i w:val="0"/>
                <w:color w:val="1A1A2E"/>
                <w:sz w:val="14"/>
              </w:rPr>
              <w:t>SH027–031: Reader questions red (SH027) → door footsteps (SH028) → Mark/voice confrontation (SH029) → Reader refuses attribution (SH030) → funeral re-heard, fourth isolated (SH031) → typography/title/stinger</w:t>
            </w:r>
          </w:p>
        </w:tc>
      </w:tr>
    </w:tbl>
    <w:p>
      <w:pPr>
        <w:pStyle w:val="Heading2"/>
        <w:jc w:val="left"/>
        <w:pBdr>
          <w:bottom w:val="single" w:sz="6" w:space="4" w:color="C0392B"/>
        </w:pBdr>
      </w:pPr>
      <w:r>
        <w:rPr>
          <w:rFonts w:ascii="Calibri" w:hAnsi="Calibri"/>
          <w:b/>
          <w:color w:val="C0392B"/>
          <w:sz w:val="22"/>
        </w:rPr>
        <w:t>Character Sketches — What Each Wants To Believe</w:t>
      </w:r>
    </w:p>
    <w:p>
      <w:pPr>
        <w:pStyle w:val="ListBullet"/>
        <w:spacing w:after="80" w:line="276" w:lineRule="auto"/>
        <w:jc w:val="left"/>
      </w:pPr>
      <w:r>
        <w:rPr>
          <w:rFonts w:ascii="Calibri" w:hAnsi="Calibri"/>
          <w:b w:val="0"/>
          <w:i w:val="0"/>
          <w:color w:val="1A1A2E"/>
          <w:sz w:val="16"/>
        </w:rPr>
        <w:t>MATTHEW — The Eulogist: Wants to believe the joke is enough — that the story that made them laugh can hold at a funeral. He chooses the pickup line because it is communal memory, not provocation. His arc in the trailer is to set the room's laughter — and then hear, later, that the room contained more laughter than he authorized.</w:t>
      </w:r>
    </w:p>
    <w:p>
      <w:pPr>
        <w:pStyle w:val="ListBullet"/>
        <w:spacing w:after="80" w:line="276" w:lineRule="auto"/>
        <w:jc w:val="left"/>
      </w:pPr>
      <w:r>
        <w:rPr>
          <w:rFonts w:ascii="Calibri" w:hAnsi="Calibri"/>
          <w:b w:val="0"/>
          <w:i w:val="0"/>
          <w:color w:val="1A1A2E"/>
          <w:sz w:val="16"/>
        </w:rPr>
        <w:t>IONE — The Sewer: Wants to believe the shirt is still the garment she repaired. Her blue thread was care; the white over it is evidence that care was not the shirt's only biography. She asks “where” — because location, not just betrayal, matters.</w:t>
      </w:r>
    </w:p>
    <w:p>
      <w:pPr>
        <w:pStyle w:val="ListBullet"/>
        <w:spacing w:after="80" w:line="276" w:lineRule="auto"/>
        <w:jc w:val="left"/>
      </w:pPr>
      <w:r>
        <w:rPr>
          <w:rFonts w:ascii="Calibri" w:hAnsi="Calibri"/>
          <w:b w:val="0"/>
          <w:i w:val="0"/>
          <w:color w:val="1A1A2E"/>
          <w:sz w:val="16"/>
        </w:rPr>
        <w:t>YVONNE — The Keeper: In 2026 she holds the aged shirt — the generation that keeps, not sews. She wants to believe age has settled the question. SH021's reaction is not fear performance but body registering an image that defeats her model of reality.</w:t>
      </w:r>
    </w:p>
    <w:p>
      <w:pPr>
        <w:pStyle w:val="ListBullet"/>
        <w:spacing w:after="80" w:line="276" w:lineRule="auto"/>
        <w:jc w:val="left"/>
      </w:pPr>
      <w:r>
        <w:rPr>
          <w:rFonts w:ascii="Calibri" w:hAnsi="Calibri"/>
          <w:b w:val="0"/>
          <w:i w:val="0"/>
          <w:color w:val="1A1A2E"/>
          <w:sz w:val="16"/>
        </w:rPr>
        <w:t>DESMOND — The Absent Father: Dead before 2026 — present as voice, as shirt, possibly as duppy, but *not* confirmed. He may have been unfaithful (white over blue suggests but does not prove) or generous ("a woman at work…"); the trailer withholds verdict.</w:t>
      </w:r>
    </w:p>
    <w:p>
      <w:pPr>
        <w:pStyle w:val="ListBullet"/>
        <w:spacing w:after="80" w:line="276" w:lineRule="auto"/>
        <w:jc w:val="left"/>
      </w:pPr>
      <w:r>
        <w:rPr>
          <w:rFonts w:ascii="Calibri" w:hAnsi="Calibri"/>
          <w:b w:val="0"/>
          <w:i w:val="0"/>
          <w:color w:val="1A1A2E"/>
          <w:sz w:val="16"/>
        </w:rPr>
        <w:t>READER MAN — The Investigator Who Does Not Know: Proposed spiritual investigator whose exact methods remain undefined. He enters the house because he was asked — not because he was summoned by power. He looks at stitching and *questions attribution* — his restraint is the trailer's epistemological thesis. He must never be directed as mystic caricature.</w:t>
      </w:r>
    </w:p>
    <w:p>
      <w:pPr>
        <w:pStyle w:val="Heading2"/>
        <w:jc w:val="left"/>
        <w:pBdr>
          <w:bottom w:val="single" w:sz="6" w:space="4" w:color="C0392B"/>
        </w:pBdr>
      </w:pPr>
      <w:r>
        <w:rPr>
          <w:rFonts w:ascii="Calibri" w:hAnsi="Calibri"/>
          <w:b/>
          <w:color w:val="C0392B"/>
          <w:sz w:val="22"/>
        </w:rPr>
        <w:t>Visual Approach — Witness Doctrine</w:t>
      </w:r>
    </w:p>
    <w:p>
      <w:pPr>
        <w:spacing w:after="80" w:line="276" w:lineRule="auto"/>
        <w:jc w:val="left"/>
      </w:pPr>
      <w:r>
        <w:rPr>
          <w:rFonts w:ascii="Calibri" w:hAnsi="Calibri"/>
          <w:b w:val="0"/>
          <w:i w:val="0"/>
          <w:color w:val="1A1A2E"/>
          <w:sz w:val="18"/>
        </w:rPr>
        <w:t>Aspect: 2.39:1 scope — communal width for funeral, forensic tightness for thread. Camera: LF, Cooke Panchro Classics — warm, human falloff — spherical crop (not anamorphic glass) for macro thread legibility. Movement: Locked as default; subtle push only where attention re-listens (SH007→SH031). Light: Window-motivated only; 1980s warmer than 2026 by intent; no horror color. Macro: 60–100mm true macro at T4–T8 for hem; thread must read on phone. Witness Rule: SH020 thread movement must survive a skeptic — locked camera so movement is not camera, monofilament practical (preferred), shadow proves practical presence.</w:t>
      </w:r>
    </w:p>
    <w:p>
      <w:pPr>
        <w:pStyle w:val="Heading2"/>
        <w:jc w:val="left"/>
        <w:pBdr>
          <w:bottom w:val="single" w:sz="6" w:space="4" w:color="C0392B"/>
        </w:pBdr>
      </w:pPr>
      <w:r>
        <w:rPr>
          <w:rFonts w:ascii="Calibri" w:hAnsi="Calibri"/>
          <w:b/>
          <w:color w:val="C0392B"/>
          <w:sz w:val="22"/>
        </w:rPr>
        <w:t>Sound — The Uncanny is Acoustic</w:t>
      </w:r>
    </w:p>
    <w:p>
      <w:pPr>
        <w:spacing w:after="80" w:line="276" w:lineRule="auto"/>
        <w:jc w:val="left"/>
      </w:pPr>
      <w:r>
        <w:rPr>
          <w:rFonts w:ascii="Calibri" w:hAnsi="Calibri"/>
          <w:b w:val="0"/>
          <w:i w:val="0"/>
          <w:color w:val="1A1A2E"/>
          <w:sz w:val="18"/>
        </w:rPr>
        <w:t>The trailer's uncanny is heard before it is seen. SH007's fourth laugh is masked (buried 3–4dB under communal laughter, 15° off-axis, longer pre-delay). It is the same file as SH031's isolated laugh — the validator checks hash. The house after SH020 is acoustic — bathroom throat clearing (SH022), tape of Desmond's voice (SH023, archival hiss), voice beyond closed door (SH024, SH029). The voice that answers Mark (“I… am here.”) may be tape, may be presence — the mix does not adjudicate.</w:t>
      </w:r>
    </w:p>
    <w:p>
      <w:pPr>
        <w:pStyle w:val="Heading2"/>
        <w:jc w:val="left"/>
        <w:pBdr>
          <w:bottom w:val="single" w:sz="6" w:space="4" w:color="C0392B"/>
        </w:pBdr>
      </w:pPr>
      <w:r>
        <w:rPr>
          <w:rFonts w:ascii="Calibri" w:hAnsi="Calibri"/>
          <w:b/>
          <w:color w:val="C0392B"/>
          <w:sz w:val="22"/>
        </w:rPr>
        <w:t>Ending — Why the Trailer Loops</w:t>
      </w:r>
    </w:p>
    <w:p>
      <w:pPr>
        <w:spacing w:after="80" w:line="276" w:lineRule="auto"/>
        <w:jc w:val="left"/>
      </w:pPr>
      <w:r>
        <w:rPr>
          <w:rFonts w:ascii="Calibri" w:hAnsi="Calibri"/>
          <w:b w:val="0"/>
          <w:i w:val="0"/>
          <w:color w:val="1A1A2E"/>
          <w:sz w:val="18"/>
        </w:rPr>
        <w:t>SH031 returns to the funeral with new ears — the fourth laugh isolated. The typography (SH032) states kinship as fact: Four brothers, three mothers, one father — without naming mothers, because names would resolve curiosity that the film needs to keep. Title (SH033) with red-thread motif; black stinger (SH034) — a voice from the shirt ("Ione?" or throat clear or whisper) — returns the audience to the object.</w:t>
      </w:r>
    </w:p>
    <w:p>
      <w:pPr>
        <w:spacing w:after="80" w:line="276" w:lineRule="auto"/>
        <w:jc w:val="left"/>
      </w:pPr>
      <w:r>
        <w:rPr>
          <w:rFonts w:ascii="Calibri" w:hAnsi="Calibri"/>
          <w:b w:val="0"/>
          <w:i w:val="0"/>
          <w:color w:val="1A1A2E"/>
          <w:sz w:val="18"/>
        </w:rPr>
        <w:t>The film withholds: whether Desmond is duppy; whether white over blue was infidelity; whether the women reconcile; what the red thread is. It delivers: four brothers who joke about family size (SH012 Luke's beat) — and a shirt whose biography cannot be settled.</w:t>
      </w:r>
    </w:p>
    <w:p>
      <w:pPr>
        <w:pStyle w:val="Heading2"/>
        <w:jc w:val="left"/>
        <w:pBdr>
          <w:bottom w:val="single" w:sz="6" w:space="4" w:color="C0392B"/>
        </w:pBdr>
      </w:pPr>
      <w:r>
        <w:rPr>
          <w:rFonts w:ascii="Calibri" w:hAnsi="Calibri"/>
          <w:b/>
          <w:color w:val="1A1A2E"/>
          <w:sz w:val="20"/>
        </w:rPr>
        <w:t>How to Reuse This Template</w:t>
      </w:r>
    </w:p>
    <w:p>
      <w:pPr>
        <w:pStyle w:val="ListBullet"/>
        <w:spacing w:after="80" w:line="276" w:lineRule="auto"/>
        <w:jc w:val="left"/>
      </w:pPr>
      <w:r>
        <w:rPr>
          <w:rFonts w:ascii="Calibri" w:hAnsi="Calibri"/>
          <w:b w:val="0"/>
          <w:i w:val="0"/>
          <w:color w:val="1A1A2E"/>
          <w:sz w:val="16"/>
        </w:rPr>
        <w:t>Keep all section headings — Logline → Genre Engine → Themes → Opening-line Stewardship ( adapt to your opening) → Tone → Structure → Characters → Visual → Sound → Ending. Replace BOTBC-specific content — Jamaican setting, shirt mythology, pickup line — with your film's. The template's value is not BOTBC's story but the *questions* it forces you to answer before camera rolls.</w:t>
      </w:r>
    </w:p>
    <w:p>
      <w:pPr>
        <w:spacing w:after="80" w:line="276" w:lineRule="auto"/>
        <w:jc w:val="left"/>
      </w:pPr>
      <w:r>
        <w:rPr>
          <w:rFonts w:ascii="Calibri" w:hAnsi="Calibri"/>
          <w:b w:val="0"/>
          <w:i/>
          <w:color w:val="1A1A2E"/>
          <w:sz w:val="14"/>
        </w:rPr>
        <w:t>STATUS: REFERENCE READY — Handoff to Template Creator pending (Class D blocker).</w:t>
      </w:r>
    </w:p>
    <w:p>
      <w:pPr>
        <w:jc w:val="center"/>
      </w:pPr>
      <w:r>
        <w:rPr>
          <w:rFonts w:ascii="Calibri" w:hAnsi="Calibri"/>
          <w:i/>
          <w:color w:val="95A5A6"/>
          <w:sz w:val="14"/>
        </w:rPr>
        <w:t>WRASAL Media  •  Real Brothers. Woven Fates.  •  One vision. Many coordinated capabilities. One consolidated review. Human authority throughout.</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WRASAL Cinematic Treatment — BOTBC The Invocation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