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1A2E"/>
          <w:sz w:val="36"/>
        </w:rPr>
        <w:t>WRASAL VISUAL DNA &amp; CONTINUITY SHEET</w:t>
      </w:r>
    </w:p>
    <w:p>
      <w:pPr>
        <w:jc w:val="center"/>
      </w:pPr>
      <w:r>
        <w:rPr>
          <w:rFonts w:ascii="Calibri" w:hAnsi="Calibri"/>
          <w:i/>
          <w:color w:val="95A5A6"/>
          <w:sz w:val="18"/>
        </w:rPr>
        <w:t>Brothers of the Blood Cloth  •  The Invocation  •  Reusable Continuity Infrastructure</w:t>
      </w:r>
    </w:p>
    <w:p>
      <w:pPr>
        <w:pStyle w:val="Heading2"/>
        <w:jc w:val="left"/>
        <w:pBdr>
          <w:bottom w:val="single" w:sz="6" w:space="4" w:color="C0392B"/>
        </w:pBdr>
      </w:pPr>
      <w:r>
        <w:rPr>
          <w:rFonts w:ascii="Calibri" w:hAnsi="Calibri"/>
          <w:b/>
          <w:color w:val="C0392B"/>
          <w:sz w:val="22"/>
        </w:rPr>
        <w:t>1. What This Document Is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This Visual DNA Sheet is the project's *visual memory*. It records, in one place, the look decisions that must remain coherent across units, days, and periods (1980s vs 2026), and across future WRASAL films that reuse this infrastructure. It is *not* a mood board and *not* an approval of any performer's likeness — it is a control document.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i/>
          <w:color w:val="C0392B"/>
          <w:sz w:val="14"/>
        </w:rPr>
        <w:t>REUSABLE STRUCTURE vs BOTBC EXAMPLE:  Sections marked [TEMPLATE] are reusable for any WRASAL film — keep headings, prompts, and QC fields. Sections marked [EXAMPLE: BOTBC] contain this film's values — replace with your film's choices. The separation is enforced by this document's legend (next page).</w:t>
      </w:r>
    </w:p>
    <w:p>
      <w:pPr>
        <w:pStyle w:val="Heading2"/>
        <w:jc w:val="left"/>
        <w:pBdr>
          <w:bottom w:val="single" w:sz="6" w:space="4" w:color="C0392B"/>
        </w:pBdr>
      </w:pPr>
      <w:r>
        <w:rPr>
          <w:rFonts w:ascii="Calibri" w:hAnsi="Calibri"/>
          <w:b/>
          <w:color w:val="1A1A2E"/>
          <w:sz w:val="20"/>
        </w:rPr>
        <w:t>Legend — Reusable vs Example</w:t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A1A2E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REUSABLE TEMPLATE FIELD</w:t>
            </w:r>
          </w:p>
        </w:tc>
        <w:tc>
          <w:tcPr>
            <w:tcW w:type="dxa" w:w="5040"/>
            <w:shd w:fill="1A1A2E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WHAT TO REPLACE PER FILM</w:t>
            </w:r>
          </w:p>
        </w:tc>
      </w:tr>
      <w:tr>
        <w:tc>
          <w:tcPr>
            <w:tcW w:type="dxa" w:w="504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Aspect ratio box (2.39:1 prompt + safe area note)</w:t>
            </w:r>
          </w:p>
        </w:tc>
        <w:tc>
          <w:tcPr>
            <w:tcW w:type="dxa" w:w="504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BOTBC uses 2.39:1 scope; your film may differ — update frame diagram + safe action %</w:t>
            </w:r>
          </w:p>
        </w:tc>
      </w:tr>
      <w:tr>
        <w:tc>
          <w:tcPr>
            <w:tcW w:type="dxa" w:w="504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Color palette swatches (6 slots + LAB/HEX + usage prompt)</w:t>
            </w:r>
          </w:p>
        </w:tc>
        <w:tc>
          <w:tcPr>
            <w:tcW w:type="dxa" w:w="504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BOTBC: warm funeral cream / 1980s yellow / 2026 neutral / red blood — replace with your palette</w:t>
            </w:r>
          </w:p>
        </w:tc>
      </w:tr>
      <w:tr>
        <w:tc>
          <w:tcPr>
            <w:tcW w:type="dxa" w:w="504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Typography lockup (title + credit font stack)</w:t>
            </w:r>
          </w:p>
        </w:tc>
        <w:tc>
          <w:tcPr>
            <w:tcW w:type="dxa" w:w="504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BOTBC title treatment; keep font-family prompt (e.g., serif/sans) but replace typeface choices</w:t>
            </w:r>
          </w:p>
        </w:tc>
      </w:tr>
      <w:tr>
        <w:tc>
          <w:tcPr>
            <w:tcW w:type="dxa" w:w="504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Texture &amp; material prompts (fabric, paper, skin, light)</w:t>
            </w:r>
          </w:p>
        </w:tc>
        <w:tc>
          <w:tcPr>
            <w:tcW w:type="dxa" w:w="504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BOTBC hero shirt macro detail; replace with your film's key object material</w:t>
            </w:r>
          </w:p>
        </w:tc>
      </w:tr>
      <w:tr>
        <w:tc>
          <w:tcPr>
            <w:tcW w:type="dxa" w:w="504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Character visual identity matrix (6 dims)</w:t>
            </w:r>
          </w:p>
        </w:tc>
        <w:tc>
          <w:tcPr>
            <w:tcW w:type="dxa" w:w="504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BOTBC cast names (MATTHEW, IONE, YVONNE...) — replace; keep 6-dimension QC structure</w:t>
            </w:r>
          </w:p>
        </w:tc>
      </w:tr>
      <w:tr>
        <w:tc>
          <w:tcPr>
            <w:tcW w:type="dxa" w:w="504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Continuity gate checklist (20 gates)</w:t>
            </w:r>
          </w:p>
        </w:tc>
        <w:tc>
          <w:tcPr>
            <w:tcW w:type="dxa" w:w="504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BOTBC gates (white-shirt state, door geography) — keep structure; rewrite gates</w:t>
            </w:r>
          </w:p>
        </w:tc>
      </w:tr>
      <w:tr>
        <w:tc>
          <w:tcPr>
            <w:tcW w:type="dxa" w:w="504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Shooting grammar notes (lens family, movement doctrine)</w:t>
            </w:r>
          </w:p>
        </w:tc>
        <w:tc>
          <w:tcPr>
            <w:tcW w:type="dxa" w:w="504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BOTBC Cooke Panchro + witness doctrine — keep lens-family prompt; replace selections</w:t>
            </w:r>
          </w:p>
        </w:tc>
      </w:tr>
    </w:tbl>
    <w:p>
      <w:pPr>
        <w:pStyle w:val="Heading2"/>
        <w:jc w:val="left"/>
        <w:pBdr>
          <w:bottom w:val="single" w:sz="6" w:space="4" w:color="C0392B"/>
        </w:pBdr>
      </w:pPr>
      <w:r>
        <w:rPr>
          <w:rFonts w:ascii="Calibri" w:hAnsi="Calibri"/>
          <w:b/>
          <w:color w:val="C0392B"/>
          <w:sz w:val="22"/>
        </w:rPr>
        <w:t>2. Color &amp; Light — [EXAMPLE: BOTBC]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i/>
          <w:color w:val="95A5A6"/>
          <w:sz w:val="14"/>
        </w:rPr>
        <w:t>[TEMPLATE]: Provide 6 swatches (describe via LAB/HEX + usage). [EXAMPLE]: BOTBC's palette that realizes Tragicomedy → Gothic progression without horror clichés.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C0392B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SWATCH / HEX</w:t>
            </w:r>
          </w:p>
        </w:tc>
        <w:tc>
          <w:tcPr>
            <w:tcW w:type="dxa" w:w="2520"/>
            <w:shd w:fill="C0392B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LAB / USAGE</w:t>
            </w:r>
          </w:p>
        </w:tc>
        <w:tc>
          <w:tcPr>
            <w:tcW w:type="dxa" w:w="2520"/>
            <w:shd w:fill="C0392B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GOVERNANCE</w:t>
            </w:r>
          </w:p>
        </w:tc>
        <w:tc>
          <w:tcPr>
            <w:tcW w:type="dxa" w:w="2520"/>
            <w:shd w:fill="C0392B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 xml:space="preserve"> QC GATE</w:t>
            </w:r>
          </w:p>
        </w:tc>
      </w:tr>
      <w:tr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Funeral Warm — #FDEBD0  ■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LAB 94/5/15 — Fellowship hall warmth; SH001–008 church window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Reality First — actual church paint, not set paint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Gate L1: no church scene lit cooler than funeral</w:t>
            </w:r>
          </w:p>
        </w:tc>
      </w:tr>
      <w:tr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1980s Domestic — #FEF9E7  ■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LAB 98/1/10 — Yellowing domestic whites; SH009–017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Must read warmer than 2026, not golden hour gimmick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Gate L2: 1980s warmer than 2026 by +4 LAB b shift</w:t>
            </w:r>
          </w:p>
        </w:tc>
      </w:tr>
      <w:tr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2026 Neutral — #EBF5FB  ■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LAB 92/-2/-8 — Hushed house present; SH018–030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Neutral, not cold — still Jamaica, not Scandinavia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Gate L3: 2026 not desaturated &gt;5%; no teal push</w:t>
            </w:r>
          </w:p>
        </w:tc>
      </w:tr>
      <w:tr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Aged Shirt Cream — #E8DAA0  ■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LAB 88/0/18 — Yellowed fabric (hero C aged)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Prop-aged tea/UV, not grade fake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Gate M1: fabric delta E 8 from optic white</w:t>
            </w:r>
          </w:p>
        </w:tc>
      </w:tr>
      <w:tr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Blood Red (Thread) — #C0392B  ■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LAB 42/48/22 — Waxed linen red — FICTIONAL invention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Must never be presented as folklore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Gate C1: no artifact claims folklore without fiction tag</w:t>
            </w:r>
          </w:p>
        </w:tc>
      </w:tr>
      <w:tr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Attribution Shadow — #2C3E50  ■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LAB 27/0/-12 — Corridor door shadow holds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No green/purple horror gel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Gate L4: no unmotivated horror color in any interior</w:t>
            </w:r>
          </w:p>
        </w:tc>
      </w:tr>
    </w:tbl>
    <w:p>
      <w:pPr>
        <w:pStyle w:val="Heading2"/>
        <w:jc w:val="left"/>
        <w:pBdr>
          <w:bottom w:val="single" w:sz="6" w:space="4" w:color="C0392B"/>
        </w:pBdr>
      </w:pPr>
      <w:r>
        <w:rPr>
          <w:rFonts w:ascii="Calibri" w:hAnsi="Calibri"/>
          <w:b/>
          <w:color w:val="C0392B"/>
          <w:sz w:val="22"/>
        </w:rPr>
        <w:t>3. Typography &amp; GFX Language — [EXAMPLE: BOTBC]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Title Lockup: BROTHERS OF THE BLOOD CLOTH — Serif display (e.g., Canela or Freight Display) — stacked two-line — generous tracking — white on black. SH032 Typographic Statement: 'Four brothers, three mothers, one father' — same serif, smaller — white on black — red thread accent underline (waxed texture, not glow). GFX Principle: GFX is quiet — no kinetic type — authority through spacing.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i/>
          <w:color w:val="95A5A6"/>
          <w:sz w:val="14"/>
        </w:rPr>
        <w:t>[TEMPLATE]: Title / credit / subtitle font stacks + kerning + color usage + GFX motion prompts — keep structure; replace families per film.</w:t>
      </w:r>
    </w:p>
    <w:p>
      <w:pPr>
        <w:pStyle w:val="Heading2"/>
        <w:jc w:val="left"/>
        <w:pBdr>
          <w:bottom w:val="single" w:sz="6" w:space="4" w:color="C0392B"/>
        </w:pBdr>
      </w:pPr>
      <w:r>
        <w:rPr>
          <w:rFonts w:ascii="Calibri" w:hAnsi="Calibri"/>
          <w:b/>
          <w:color w:val="C0392B"/>
          <w:sz w:val="22"/>
        </w:rPr>
        <w:t>4. Key Material — The White Shirt — [EXAMPLE: BOTBC]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Hero Object: Desmond's white cotton poplin dress shirt — the film's only physical supernatural evidence. State graph: ORIGINAL (optic white) → BLUE cotton hand repair (Ione, irregular, matte) → WHITE polyester over blue (tighter, bright, smooth, +1mm offset) → AGED 40y (cream, yellowed collar/cuffs, fold lines, blue faded/white intact) → RED waxed linen beneath (blood, vivid, waxed) → RETRACT 1.5cm in 1.2s (SH020, only movement, absolutely locked camera). Texture Rule: Thread difference must read on 5" phone at 2.39 crop (macro legibility gate). [TEMPLATE]: Replace with your film's key object — maintain stitch/geometry/aging/movement specification rigor.</w:t>
      </w:r>
    </w:p>
    <w:p>
      <w:pPr>
        <w:pStyle w:val="Heading2"/>
        <w:jc w:val="left"/>
        <w:pBdr>
          <w:bottom w:val="single" w:sz="6" w:space="4" w:color="C0392B"/>
        </w:pBdr>
      </w:pPr>
      <w:r>
        <w:rPr>
          <w:rFonts w:ascii="Calibri" w:hAnsi="Calibri"/>
          <w:b/>
          <w:color w:val="C0392B"/>
          <w:sz w:val="22"/>
        </w:rPr>
        <w:t>5. Character Visual Identity Matrix — [TEMPLATE + EXAMPLE]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i/>
          <w:color w:val="95A5A6"/>
          <w:sz w:val="14"/>
        </w:rPr>
        <w:t>[TEMPLATE]: Keep six independent dimensions below — score independently (do not collapse). [EXAMPLE: BOTBC]: Names listed; replace per film.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1A2E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CHARACTER (EXAMPLE)</w:t>
            </w:r>
          </w:p>
        </w:tc>
        <w:tc>
          <w:tcPr>
            <w:tcW w:type="dxa" w:w="2520"/>
            <w:shd w:fill="1A1A2E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1980s LOOK</w:t>
            </w:r>
          </w:p>
        </w:tc>
        <w:tc>
          <w:tcPr>
            <w:tcW w:type="dxa" w:w="2520"/>
            <w:shd w:fill="1A1A2E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2026 LOOK</w:t>
            </w:r>
          </w:p>
        </w:tc>
        <w:tc>
          <w:tcPr>
            <w:tcW w:type="dxa" w:w="2520"/>
            <w:shd w:fill="1A1A2E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IDENTITY RISK + MITIGATION</w:t>
            </w:r>
          </w:p>
        </w:tc>
      </w:tr>
      <w:tr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MATTHEW — Brothers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(Child in photo SH011)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Funeral suit charcoal, white shirt modern, dark tie — early 40s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Low — single period primary; child must resemble adult</w:t>
            </w:r>
          </w:p>
        </w:tc>
      </w:tr>
      <w:tr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MARK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Child photo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Smart-casual (shirt, no tie — contrast to Matthew's formality)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Medium — skeptic performance in SH029 must read in 3s</w:t>
            </w:r>
          </w:p>
        </w:tc>
      </w:tr>
      <w:tr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LUKE — Enhanced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Child photo center anchor, holds print edge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Composed, warm — delivers comic beat SH012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PROPOSED enhancement — director approves SH012 weight (risk tokenism)</w:t>
            </w:r>
          </w:p>
        </w:tc>
      </w:tr>
      <w:tr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JOHN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Child photo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Understated — listener at door SH024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Low</w:t>
            </w:r>
          </w:p>
        </w:tc>
      </w:tr>
      <w:tr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IONE — Central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20s — domestic dress, period hair (consultant)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60s — funeral dress dark, greyed hair/covered — same hands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HIGH — 40y age jump; single actress + hair/makeup preferred (no heavy prosthetic)</w:t>
            </w:r>
          </w:p>
        </w:tc>
      </w:tr>
      <w:tr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YVONNE — Handler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— (not in 1980s youth)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60s — elegant elder; hands key (SH018–021 same nails)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Low — single period; hand continuity</w:t>
            </w:r>
          </w:p>
        </w:tc>
      </w:tr>
      <w:tr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MARCIA — Witness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—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60s — warm, following sisters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Low — provisional name</w:t>
            </w:r>
          </w:p>
        </w:tc>
      </w:tr>
      <w:tr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DESMOND — Father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Late 20s–30s sharp 1980s suit + white shirt (hero)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Voice only 2026 (tape/SH023, beyond door); casket SH002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Medium — young actor timbre must connect to 2026 voice; do NOT link fiction infidelity to real biography</w:t>
            </w:r>
          </w:p>
        </w:tc>
      </w:tr>
      <w:tr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READER MAN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—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50s–70s everyday elder — NO invented spiritual costume</w:t>
            </w:r>
          </w:p>
        </w:tc>
        <w:tc>
          <w:tcPr>
            <w:tcW w:type="dxa" w:w="252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HIGH cultural — no beads/charms invented; he questions, not knows</w:t>
            </w:r>
          </w:p>
        </w:tc>
      </w:tr>
    </w:tbl>
    <w:p>
      <w:pPr>
        <w:spacing w:after="80" w:line="276" w:lineRule="auto"/>
        <w:jc w:val="left"/>
      </w:pPr>
      <w:r>
        <w:rPr>
          <w:rFonts w:ascii="Calibri" w:hAnsi="Calibri"/>
          <w:b w:val="0"/>
          <w:i/>
          <w:color w:val="95A5A6"/>
          <w:sz w:val="14"/>
        </w:rPr>
        <w:t>Six Dimensions (independent — never collapse): D1 Identity Fidelity · D2 Biological Realism · D3 Physical Plausibility · D4 Styling Control · D5 Cinematic Coherence · D6 Temporal Continuity. No dimension scored as PASS until imagery exists and evaluated (gray → green/red).</w:t>
      </w:r>
    </w:p>
    <w:p>
      <w:pPr>
        <w:pStyle w:val="Heading2"/>
        <w:jc w:val="left"/>
        <w:pBdr>
          <w:bottom w:val="single" w:sz="6" w:space="4" w:color="C0392B"/>
        </w:pBdr>
      </w:pPr>
      <w:r>
        <w:rPr>
          <w:rFonts w:ascii="Calibri" w:hAnsi="Calibri"/>
          <w:b/>
          <w:color w:val="C0392B"/>
          <w:sz w:val="22"/>
        </w:rPr>
        <w:t>6. Continuity Gates — [TEMPLATE + EXAMPLE]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i/>
          <w:color w:val="95A5A6"/>
          <w:sz w:val="14"/>
        </w:rPr>
        <w:t>[TEMPLATE]: Keep gate table structure — 20 gates with check/evidence columns. [EXAMPLE: BOTBC gates below — adapt.]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C0392B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GATE</w:t>
            </w:r>
          </w:p>
        </w:tc>
        <w:tc>
          <w:tcPr>
            <w:tcW w:type="dxa" w:w="3360"/>
            <w:shd w:fill="C0392B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CHECK</w:t>
            </w:r>
          </w:p>
        </w:tc>
        <w:tc>
          <w:tcPr>
            <w:tcW w:type="dxa" w:w="3360"/>
            <w:shd w:fill="C0392B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EVIDENCE LOCATION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G01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34 identifiers all present SH001–SH034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validator T01 — 03-full-shotlist/master-shot-list.yaml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G02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105s total (programmatic sum)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T02 — validator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G03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No timecode gaps/overlaps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T03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G04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White-shirt: no red before SH019; only SH020 movement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T06 — white-shirt graph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G05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SH007/SH031 same fourth-voice file (hash)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T08 — sound ledger + validator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G06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SH020 precedes attribution (Reader questions SH030 after)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T09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G07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IONE age jump plausible without heavy prosthetic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Character matrix D2 + test photos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G08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Door geography consistent SH024/SH028/SH029/SH030 (same prop)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Camera geography register + plan overlay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G09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1980s period accuracy (no anachronistic props)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Prop matrix anachronism review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G10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Red thread never presented as folklore (fiction-tagged)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T10 — text search in all docs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G11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No real-family biography promoted to canon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T11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G12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6 dims independent scoring — no collapse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T12 — character matrix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G13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Macro legibility at phone size (blue/white/red distinct)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Prop test photos on 5" screen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G14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SH020 lock (no camera drift during thread move)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T07 — vector check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G15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Shooting grammar: witness stance, no whip-horror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Camera spec + storyboard review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G16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LORNA/INEZ rejected (validator name check)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T04/T05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G17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Luke meaningful contribution (SH011–012 weight)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Creative brief investigation G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G18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Reader Man no automatic authority (questions, not declares)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SH030 dialogue + performance note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G19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SH031 thinned laughter same extras as SH007 (continuity photos)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Blocking matrix + extra roster</w:t>
            </w:r>
          </w:p>
        </w:tc>
      </w:tr>
      <w:tr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13"/>
              </w:rPr>
              <w:t>G20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Genre progression Tragicomedy→Mystery→Gothic→Attribution Crisis preserved</w:t>
            </w:r>
          </w:p>
        </w:tc>
        <w:tc>
          <w:tcPr>
            <w:tcW w:type="dxa" w:w="3360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3"/>
              </w:rPr>
              <w:t>T07</w:t>
            </w:r>
          </w:p>
        </w:tc>
      </w:tr>
    </w:tbl>
    <w:p>
      <w:pPr>
        <w:pStyle w:val="Heading2"/>
        <w:jc w:val="left"/>
        <w:pBdr>
          <w:bottom w:val="single" w:sz="6" w:space="4" w:color="C0392B"/>
        </w:pBdr>
      </w:pPr>
      <w:r>
        <w:rPr>
          <w:rFonts w:ascii="Calibri" w:hAnsi="Calibri"/>
          <w:b/>
          <w:color w:val="1A1A2E"/>
          <w:sz w:val="20"/>
        </w:rPr>
        <w:t>7. How to Reuse This Template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1. Save a copy: Rename from 'WRASAL-Visual-DNA-and-Continuity-Sheet.docx' to '[YOUR FILM] Visual DNA'.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2. Replace all [EXAMPLE: BOTBC] sections — keep [TEMPLATE] headings, prompts, and gate structures.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3. Swap character/prop/location registers — adapt gate list (keep 18–20 gates for coverage).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4. Send to ChatGPT Template Creator when in its supported environment — follow handoff-package.md.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i/>
          <w:color w:val="1A1A2E"/>
          <w:sz w:val="14"/>
        </w:rPr>
        <w:t>STATUS: REFERENCE READY — Handoff to Template Creator pending (Class D blocker — Creator not callable from Arena).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WRASAL Visual DNA and Continuity Sheet</dc:title>
  <dc:subject/>
  <dc:creator>WRASAL Executive Creative Production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